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01C" w:rsidRDefault="0064038E">
      <w:pPr>
        <w:pBdr>
          <w:top w:val="single" w:sz="4" w:space="1" w:color="000000"/>
          <w:left w:val="single" w:sz="4" w:space="4" w:color="000000"/>
          <w:bottom w:val="single" w:sz="4" w:space="1" w:color="000000"/>
          <w:right w:val="single" w:sz="4" w:space="4" w:color="000000"/>
        </w:pBdr>
        <w:shd w:val="clear" w:color="auto" w:fill="4472C4" w:themeFill="accent1"/>
        <w:spacing w:after="0"/>
        <w:jc w:val="center"/>
        <w:rPr>
          <w:b/>
          <w:bCs/>
          <w:color w:val="FFFFFF" w:themeColor="background1"/>
          <w:sz w:val="32"/>
          <w:szCs w:val="32"/>
        </w:rPr>
      </w:pPr>
      <w:r>
        <w:rPr>
          <w:b/>
          <w:bCs/>
          <w:color w:val="FFFFFF" w:themeColor="background1"/>
          <w:sz w:val="32"/>
          <w:szCs w:val="32"/>
        </w:rPr>
        <w:t>MODELE DE CONVENTION DE GROUPEMENT COMPTABLE D’EPLE</w:t>
      </w:r>
    </w:p>
    <w:p w:rsidR="0073301C" w:rsidRDefault="0073301C">
      <w:pPr>
        <w:spacing w:after="0"/>
        <w:jc w:val="both"/>
        <w:rPr>
          <w:b/>
          <w:bCs/>
          <w:iCs/>
          <w:color w:val="1F3864" w:themeColor="accent1" w:themeShade="80"/>
          <w:sz w:val="28"/>
          <w:szCs w:val="28"/>
        </w:rPr>
      </w:pPr>
    </w:p>
    <w:p w:rsidR="0073301C" w:rsidRDefault="0064038E">
      <w:pPr>
        <w:pStyle w:val="Paragraphedeliste"/>
        <w:spacing w:after="0"/>
        <w:ind w:left="0"/>
        <w:jc w:val="both"/>
        <w:rPr>
          <w:b/>
          <w:bCs/>
          <w:iCs/>
          <w:color w:val="1F3864" w:themeColor="accent1" w:themeShade="80"/>
          <w:sz w:val="28"/>
          <w:szCs w:val="28"/>
        </w:rPr>
      </w:pPr>
      <w:r>
        <w:rPr>
          <w:b/>
          <w:bCs/>
          <w:iCs/>
          <w:color w:val="1F3864" w:themeColor="accent1" w:themeShade="80"/>
          <w:sz w:val="28"/>
          <w:szCs w:val="28"/>
        </w:rPr>
        <w:t xml:space="preserve">Objet </w:t>
      </w:r>
    </w:p>
    <w:p w:rsidR="0073301C" w:rsidRDefault="0064038E">
      <w:pPr>
        <w:pStyle w:val="Paragraphedeliste"/>
        <w:spacing w:after="0"/>
        <w:ind w:left="0"/>
        <w:jc w:val="both"/>
        <w:rPr>
          <w:b/>
          <w:bCs/>
          <w:iCs/>
          <w:color w:val="1F3864" w:themeColor="accent1" w:themeShade="80"/>
          <w:sz w:val="28"/>
          <w:szCs w:val="28"/>
        </w:rPr>
      </w:pPr>
      <w:r>
        <w:t xml:space="preserve">La présente convention définit les modalités d’organisation et de fonctionnement de l’agence comptable instituée au lycée/collège (préciser l’EPLE support d’agence comptable), siège du groupement.  </w:t>
      </w:r>
    </w:p>
    <w:p w:rsidR="0073301C" w:rsidRDefault="0073301C">
      <w:pPr>
        <w:spacing w:after="0"/>
        <w:jc w:val="both"/>
        <w:rPr>
          <w:b/>
          <w:bCs/>
          <w:iCs/>
          <w:color w:val="1F3864" w:themeColor="accent1" w:themeShade="80"/>
          <w:sz w:val="28"/>
          <w:szCs w:val="28"/>
        </w:rPr>
      </w:pPr>
    </w:p>
    <w:p w:rsidR="0073301C" w:rsidRDefault="0064038E">
      <w:pPr>
        <w:spacing w:after="0"/>
        <w:jc w:val="both"/>
        <w:rPr>
          <w:b/>
          <w:bCs/>
          <w:iCs/>
          <w:color w:val="1F3864" w:themeColor="accent1" w:themeShade="80"/>
          <w:sz w:val="28"/>
          <w:szCs w:val="28"/>
        </w:rPr>
      </w:pPr>
      <w:r>
        <w:rPr>
          <w:b/>
          <w:bCs/>
          <w:iCs/>
          <w:color w:val="1F3864" w:themeColor="accent1" w:themeShade="80"/>
          <w:sz w:val="28"/>
          <w:szCs w:val="28"/>
        </w:rPr>
        <w:t xml:space="preserve">Désignation des parties </w:t>
      </w:r>
    </w:p>
    <w:p w:rsidR="0073301C" w:rsidRDefault="0064038E">
      <w:pPr>
        <w:spacing w:after="0"/>
        <w:jc w:val="both"/>
      </w:pPr>
      <w:r>
        <w:t>Entre l’EPLE support de l’agenc</w:t>
      </w:r>
      <w:r>
        <w:t>e comptable, représenté par M. Mme………, chef d’établissement</w:t>
      </w:r>
    </w:p>
    <w:p w:rsidR="0073301C" w:rsidRDefault="0064038E">
      <w:pPr>
        <w:spacing w:after="0"/>
        <w:jc w:val="both"/>
      </w:pPr>
      <w:r>
        <w:t xml:space="preserve">Et </w:t>
      </w:r>
    </w:p>
    <w:p w:rsidR="0073301C" w:rsidRDefault="0064038E">
      <w:pPr>
        <w:spacing w:after="0"/>
        <w:jc w:val="both"/>
      </w:pPr>
      <w:proofErr w:type="gramStart"/>
      <w:r>
        <w:t>l’EPLE</w:t>
      </w:r>
      <w:proofErr w:type="gramEnd"/>
      <w:r>
        <w:t xml:space="preserve"> rattaché, représenté par M. Mme……….,  chef d’établissement et ordonnateur </w:t>
      </w:r>
    </w:p>
    <w:p w:rsidR="0073301C" w:rsidRDefault="0064038E">
      <w:pPr>
        <w:spacing w:after="0"/>
        <w:jc w:val="both"/>
      </w:pPr>
      <w:r>
        <w:t xml:space="preserve">Et </w:t>
      </w:r>
    </w:p>
    <w:p w:rsidR="0073301C" w:rsidRDefault="0064038E">
      <w:pPr>
        <w:spacing w:after="0"/>
        <w:jc w:val="both"/>
      </w:pPr>
      <w:proofErr w:type="gramStart"/>
      <w:r>
        <w:t>l’EPLE</w:t>
      </w:r>
      <w:proofErr w:type="gramEnd"/>
      <w:r>
        <w:t xml:space="preserve"> rattaché, représenté par M. Mme……….,  chef d’établissement et ordonnateur</w:t>
      </w:r>
    </w:p>
    <w:p w:rsidR="0073301C" w:rsidRDefault="0064038E">
      <w:pPr>
        <w:spacing w:after="0"/>
        <w:jc w:val="both"/>
      </w:pPr>
      <w:r>
        <w:t xml:space="preserve">Et </w:t>
      </w:r>
    </w:p>
    <w:p w:rsidR="0073301C" w:rsidRDefault="0064038E">
      <w:pPr>
        <w:spacing w:after="0"/>
        <w:jc w:val="both"/>
      </w:pPr>
      <w:proofErr w:type="gramStart"/>
      <w:r>
        <w:t>l’EPLE</w:t>
      </w:r>
      <w:proofErr w:type="gramEnd"/>
      <w:r>
        <w:t xml:space="preserve"> rattaché, repr</w:t>
      </w:r>
      <w:r>
        <w:t>ésenté par M. Mme……….,  chef d’établissement et ordonnateur</w:t>
      </w:r>
    </w:p>
    <w:p w:rsidR="0073301C" w:rsidRDefault="0064038E">
      <w:pPr>
        <w:spacing w:after="0"/>
        <w:jc w:val="both"/>
      </w:pPr>
      <w:r>
        <w:t>….</w:t>
      </w:r>
    </w:p>
    <w:p w:rsidR="0073301C" w:rsidRDefault="0073301C">
      <w:pPr>
        <w:spacing w:after="0"/>
        <w:jc w:val="both"/>
      </w:pPr>
    </w:p>
    <w:p w:rsidR="0073301C" w:rsidRDefault="0064038E">
      <w:pPr>
        <w:spacing w:after="0"/>
        <w:jc w:val="both"/>
        <w:rPr>
          <w:b/>
          <w:bCs/>
          <w:iCs/>
          <w:color w:val="1F3864" w:themeColor="accent1" w:themeShade="80"/>
          <w:sz w:val="28"/>
          <w:szCs w:val="28"/>
        </w:rPr>
      </w:pPr>
      <w:r>
        <w:rPr>
          <w:b/>
          <w:bCs/>
          <w:iCs/>
          <w:color w:val="1F3864" w:themeColor="accent1" w:themeShade="80"/>
          <w:sz w:val="28"/>
          <w:szCs w:val="28"/>
        </w:rPr>
        <w:t xml:space="preserve">Vu </w:t>
      </w:r>
    </w:p>
    <w:p w:rsidR="0073301C" w:rsidRDefault="0064038E">
      <w:pPr>
        <w:pStyle w:val="Paragraphedeliste"/>
        <w:numPr>
          <w:ilvl w:val="0"/>
          <w:numId w:val="1"/>
        </w:numPr>
        <w:spacing w:after="0"/>
        <w:ind w:left="284" w:hanging="284"/>
        <w:jc w:val="both"/>
      </w:pPr>
      <w:r>
        <w:t>Le code de l’éducation, notamment ses articles R.421-62 à R.421-77 ;</w:t>
      </w:r>
    </w:p>
    <w:p w:rsidR="0073301C" w:rsidRDefault="0064038E">
      <w:pPr>
        <w:pStyle w:val="Paragraphedeliste"/>
        <w:numPr>
          <w:ilvl w:val="0"/>
          <w:numId w:val="1"/>
        </w:numPr>
        <w:spacing w:after="0"/>
        <w:ind w:left="284" w:hanging="284"/>
        <w:jc w:val="both"/>
      </w:pPr>
      <w:r>
        <w:t>Le code de la commande publique ;</w:t>
      </w:r>
    </w:p>
    <w:p w:rsidR="0073301C" w:rsidRDefault="0064038E">
      <w:pPr>
        <w:pStyle w:val="Paragraphedeliste"/>
        <w:numPr>
          <w:ilvl w:val="0"/>
          <w:numId w:val="1"/>
        </w:numPr>
        <w:spacing w:after="0"/>
        <w:ind w:left="284" w:hanging="284"/>
        <w:jc w:val="both"/>
      </w:pPr>
      <w:r>
        <w:t>Le décret n°2012-1246 du 7 novembre 2012 modifié relatif à la gestion budgétaire et c</w:t>
      </w:r>
      <w:r>
        <w:t>omptable publique, son Titre Ier et notamment ses articles 10 à 22-1 ;</w:t>
      </w:r>
    </w:p>
    <w:p w:rsidR="0073301C" w:rsidRDefault="0064038E">
      <w:pPr>
        <w:pStyle w:val="Paragraphedeliste"/>
        <w:numPr>
          <w:ilvl w:val="0"/>
          <w:numId w:val="1"/>
        </w:numPr>
        <w:spacing w:after="0"/>
        <w:ind w:left="284" w:hanging="284"/>
        <w:jc w:val="both"/>
      </w:pPr>
      <w:r>
        <w:t>L’instruction codificatrice M9-6 relative au cadre budgétaire et comptable des établissements publics locaux d’enseignement ;</w:t>
      </w:r>
    </w:p>
    <w:p w:rsidR="0073301C" w:rsidRDefault="0064038E">
      <w:pPr>
        <w:pStyle w:val="Paragraphedeliste"/>
        <w:numPr>
          <w:ilvl w:val="0"/>
          <w:numId w:val="1"/>
        </w:numPr>
        <w:spacing w:after="0"/>
        <w:ind w:left="284" w:hanging="284"/>
        <w:jc w:val="both"/>
      </w:pPr>
      <w:r>
        <w:t xml:space="preserve">L’ordonnance n°2022-408 du 23 mars 2022 relative au régime </w:t>
      </w:r>
      <w:r>
        <w:t>de responsabilité financière des gestionnaires publics ;</w:t>
      </w:r>
    </w:p>
    <w:p w:rsidR="0073301C" w:rsidRDefault="0064038E">
      <w:pPr>
        <w:pStyle w:val="Paragraphedeliste"/>
        <w:numPr>
          <w:ilvl w:val="0"/>
          <w:numId w:val="1"/>
        </w:numPr>
        <w:spacing w:after="0"/>
        <w:ind w:left="284" w:hanging="284"/>
        <w:jc w:val="both"/>
      </w:pPr>
      <w:r>
        <w:t xml:space="preserve">L’arrêté rectoral du …. </w:t>
      </w:r>
      <w:proofErr w:type="gramStart"/>
      <w:r>
        <w:t>instituant</w:t>
      </w:r>
      <w:proofErr w:type="gramEnd"/>
      <w:r>
        <w:t xml:space="preserve"> le groupement comptable du lycée en application de l’article R421-62 du code de l’éducation.</w:t>
      </w:r>
    </w:p>
    <w:p w:rsidR="0073301C" w:rsidRDefault="0073301C">
      <w:pPr>
        <w:pStyle w:val="Paragraphedeliste"/>
        <w:spacing w:after="0"/>
        <w:ind w:left="0"/>
      </w:pPr>
    </w:p>
    <w:p w:rsidR="0073301C" w:rsidRDefault="0073301C">
      <w:pPr>
        <w:pStyle w:val="Paragraphedeliste"/>
        <w:spacing w:after="0"/>
        <w:ind w:left="0"/>
        <w:jc w:val="center"/>
      </w:pPr>
    </w:p>
    <w:p w:rsidR="0073301C" w:rsidRDefault="0064038E">
      <w:pPr>
        <w:pStyle w:val="Paragraphedeliste"/>
        <w:pBdr>
          <w:top w:val="single" w:sz="4" w:space="1" w:color="000000"/>
          <w:left w:val="single" w:sz="4" w:space="4" w:color="000000"/>
          <w:bottom w:val="single" w:sz="4" w:space="1" w:color="000000"/>
          <w:right w:val="single" w:sz="4" w:space="4" w:color="000000"/>
        </w:pBdr>
        <w:shd w:val="clear" w:color="auto" w:fill="2F5496" w:themeFill="accent1" w:themeFillShade="BF"/>
        <w:spacing w:after="0"/>
        <w:ind w:left="0"/>
        <w:jc w:val="center"/>
        <w:rPr>
          <w:b/>
          <w:bCs/>
          <w:color w:val="FFFFFF" w:themeColor="background1"/>
          <w:sz w:val="28"/>
          <w:szCs w:val="24"/>
        </w:rPr>
      </w:pPr>
      <w:r>
        <w:rPr>
          <w:b/>
          <w:bCs/>
          <w:color w:val="FFFFFF" w:themeColor="background1"/>
          <w:sz w:val="28"/>
          <w:szCs w:val="24"/>
        </w:rPr>
        <w:t>I - LES ROLES DE L’ORDONNATEUR ET DU COMPTABLE</w:t>
      </w:r>
    </w:p>
    <w:p w:rsidR="0073301C" w:rsidRDefault="0073301C">
      <w:pPr>
        <w:pStyle w:val="Paragraphedeliste"/>
        <w:spacing w:after="0"/>
        <w:ind w:left="1440" w:hanging="1440"/>
        <w:jc w:val="both"/>
      </w:pPr>
    </w:p>
    <w:p w:rsidR="0073301C" w:rsidRDefault="0064038E">
      <w:pPr>
        <w:pStyle w:val="Paragraphedeliste"/>
        <w:shd w:val="clear" w:color="auto" w:fill="B4C6E7" w:themeFill="accent1" w:themeFillTint="66"/>
        <w:spacing w:after="0"/>
        <w:ind w:left="1440" w:hanging="1440"/>
        <w:jc w:val="both"/>
      </w:pPr>
      <w:r>
        <w:rPr>
          <w:b/>
          <w:bCs/>
          <w:u w:val="single"/>
        </w:rPr>
        <w:t>Article 1</w:t>
      </w:r>
      <w:r>
        <w:t> : Le rappel</w:t>
      </w:r>
      <w:r>
        <w:t xml:space="preserve"> des compétences légales et règlementaires des services de l’ordonnateur</w:t>
      </w:r>
    </w:p>
    <w:p w:rsidR="0073301C" w:rsidRDefault="0073301C">
      <w:pPr>
        <w:pStyle w:val="Paragraphedeliste"/>
        <w:spacing w:after="0"/>
        <w:ind w:left="1440" w:hanging="1440"/>
        <w:jc w:val="both"/>
      </w:pPr>
    </w:p>
    <w:p w:rsidR="0073301C" w:rsidRDefault="0064038E">
      <w:pPr>
        <w:pStyle w:val="Paragraphedeliste"/>
        <w:spacing w:after="0"/>
        <w:ind w:left="0"/>
        <w:jc w:val="both"/>
      </w:pPr>
      <w:r>
        <w:t>Les services de l’ordonnateur constatent les droits et les obligations, liquident les recettes et émettent les ordres de recouvrer. Ils engagent, liquident et ordonnancent les dépens</w:t>
      </w:r>
      <w:r>
        <w:t>es. Ils s’engagent à assurer une tenue rigoureuse des opérations de dépenses et de recettes ainsi que des droits constatés, dans le respect du calendrier mis en place par le groupement d’agence comptable. Ils s’engagent à transmettre à l’agence comptable l</w:t>
      </w:r>
      <w:r>
        <w:t>es pièces justificatives exigées par la réglementation pour procéder à la mise au paiement et au recouvrement.  Enfin, ils veillent à échanger régulièrement avec l’agence comptable sur la situation budgétaire et financière de l’établissement et notamment à</w:t>
      </w:r>
      <w:r>
        <w:t xml:space="preserve"> demander l’accord de l’agent comptable pour tout prélèvement sur fonds de roulement. </w:t>
      </w:r>
    </w:p>
    <w:p w:rsidR="0073301C" w:rsidRDefault="0073301C">
      <w:pPr>
        <w:pStyle w:val="Paragraphedeliste"/>
        <w:spacing w:after="0"/>
        <w:ind w:left="0"/>
        <w:jc w:val="both"/>
      </w:pPr>
    </w:p>
    <w:p w:rsidR="0073301C" w:rsidRDefault="0073301C">
      <w:pPr>
        <w:pStyle w:val="Paragraphedeliste"/>
        <w:spacing w:after="0"/>
        <w:ind w:left="0"/>
        <w:jc w:val="both"/>
      </w:pPr>
    </w:p>
    <w:p w:rsidR="0073301C" w:rsidRDefault="0073301C">
      <w:pPr>
        <w:pStyle w:val="Paragraphedeliste"/>
        <w:spacing w:after="0"/>
        <w:ind w:left="0"/>
        <w:jc w:val="both"/>
        <w:rPr>
          <w:i/>
          <w:iCs/>
        </w:rPr>
      </w:pPr>
    </w:p>
    <w:p w:rsidR="0073301C" w:rsidRDefault="0064038E">
      <w:pPr>
        <w:shd w:val="clear" w:color="auto" w:fill="B4C6E7" w:themeFill="accent1" w:themeFillTint="66"/>
        <w:spacing w:after="0"/>
        <w:jc w:val="both"/>
      </w:pPr>
      <w:r>
        <w:rPr>
          <w:b/>
          <w:bCs/>
          <w:u w:val="single"/>
        </w:rPr>
        <w:lastRenderedPageBreak/>
        <w:t>Article 2</w:t>
      </w:r>
      <w:r>
        <w:t> : Le rappel des compétences légales et règlementaires de l’agent comptable</w:t>
      </w:r>
    </w:p>
    <w:p w:rsidR="0073301C" w:rsidRDefault="0073301C">
      <w:pPr>
        <w:spacing w:after="0"/>
        <w:jc w:val="both"/>
      </w:pPr>
    </w:p>
    <w:p w:rsidR="0073301C" w:rsidRDefault="0064038E">
      <w:pPr>
        <w:spacing w:after="0"/>
        <w:jc w:val="both"/>
      </w:pPr>
      <w:r>
        <w:t>L’agent comptable assure auprès des ordonnateurs et de leurs services la tenue de la comptabilité générale, la réalisation des opérations financières, le contrôle de la régularité des opérations à prendre en charge. Il assure également un rôle de conseil e</w:t>
      </w:r>
      <w:r>
        <w:t xml:space="preserve">t d’analyse financière. </w:t>
      </w:r>
    </w:p>
    <w:p w:rsidR="0073301C" w:rsidRDefault="0073301C">
      <w:pPr>
        <w:spacing w:after="0"/>
        <w:jc w:val="both"/>
        <w:rPr>
          <w:b/>
          <w:bCs/>
          <w:u w:val="single"/>
        </w:rPr>
      </w:pPr>
    </w:p>
    <w:p w:rsidR="0073301C" w:rsidRDefault="0064038E">
      <w:pPr>
        <w:shd w:val="clear" w:color="auto" w:fill="D9E2F3" w:themeFill="accent1" w:themeFillTint="33"/>
        <w:spacing w:after="0"/>
        <w:jc w:val="both"/>
      </w:pPr>
      <w:r>
        <w:rPr>
          <w:b/>
          <w:bCs/>
          <w:u w:val="single"/>
        </w:rPr>
        <w:t>Article 3 :</w:t>
      </w:r>
      <w:r>
        <w:t xml:space="preserve"> La responsabilité financière des services ordonnateurs et comptables</w:t>
      </w:r>
    </w:p>
    <w:p w:rsidR="0073301C" w:rsidRDefault="0073301C">
      <w:pPr>
        <w:spacing w:after="0"/>
        <w:jc w:val="both"/>
      </w:pPr>
    </w:p>
    <w:p w:rsidR="0073301C" w:rsidRDefault="0064038E">
      <w:pPr>
        <w:spacing w:after="0"/>
        <w:jc w:val="both"/>
      </w:pPr>
      <w:r>
        <w:t>L’ordonnance n°2022-408 du 23 mars 2022 relative au régime de responsabilité financière des gestionnaires publics pose le principe d’un régime de responsabilité unifié entre les services ordonnateurs et comptables. Ce régime doit avoir pour conséquences de</w:t>
      </w:r>
      <w:r>
        <w:t xml:space="preserve"> renforcer les liens naturels qui existent entre les deux parties, en vue d’assurer un suivi efficace et sécurisé de la gestion financière des établissements. </w:t>
      </w:r>
    </w:p>
    <w:p w:rsidR="0073301C" w:rsidRDefault="0064038E">
      <w:pPr>
        <w:spacing w:after="0"/>
        <w:jc w:val="both"/>
      </w:pPr>
      <w:r>
        <w:t xml:space="preserve">Dans cette perspective, et au-delà des missions des ordonnateurs et des comptables, rappelées à </w:t>
      </w:r>
      <w:r>
        <w:t>l’article 1er :</w:t>
      </w:r>
    </w:p>
    <w:p w:rsidR="0073301C" w:rsidRDefault="0064038E">
      <w:pPr>
        <w:pStyle w:val="Paragraphedeliste"/>
        <w:numPr>
          <w:ilvl w:val="0"/>
          <w:numId w:val="1"/>
        </w:numPr>
        <w:spacing w:after="0"/>
        <w:ind w:left="567" w:hanging="283"/>
        <w:jc w:val="both"/>
      </w:pPr>
      <w:r>
        <w:t>L’agent comptable informera l’ordonnateur des irrégularités qu’il a pu constater lors de sa mission de contrôle des opérations qu’il prend en charge et échangera avec lui sur les actions de correction à entreprendre. Dans l’attente de cette</w:t>
      </w:r>
      <w:r>
        <w:t xml:space="preserve"> régularisation, l’agent comptable suspendra le paiement. </w:t>
      </w:r>
    </w:p>
    <w:p w:rsidR="0073301C" w:rsidRDefault="0064038E">
      <w:pPr>
        <w:pStyle w:val="Paragraphedeliste"/>
        <w:numPr>
          <w:ilvl w:val="0"/>
          <w:numId w:val="1"/>
        </w:numPr>
        <w:spacing w:after="0"/>
        <w:ind w:left="567" w:hanging="283"/>
        <w:jc w:val="both"/>
      </w:pPr>
      <w:r>
        <w:t xml:space="preserve">L’ordonnateur aura la possibilité de requérir par écrit l’agent comptable de payer, déchargeant ainsi ce dernier de toute responsabilité sur cette opération. </w:t>
      </w:r>
    </w:p>
    <w:p w:rsidR="0073301C" w:rsidRDefault="0064038E">
      <w:pPr>
        <w:pStyle w:val="Paragraphedeliste"/>
        <w:numPr>
          <w:ilvl w:val="0"/>
          <w:numId w:val="1"/>
        </w:numPr>
        <w:spacing w:after="0"/>
        <w:ind w:left="567" w:hanging="283"/>
        <w:jc w:val="both"/>
      </w:pPr>
      <w:r>
        <w:t>L’agent comptable, en cas d’infraction</w:t>
      </w:r>
      <w:r>
        <w:t xml:space="preserve"> constatée et conformément à l’article L. 131-7 du code des juridictions financières, devra adresser un signalement écrit à l’ordonnateur, avec copie au recteur d’académie. </w:t>
      </w:r>
    </w:p>
    <w:p w:rsidR="0073301C" w:rsidRDefault="0073301C">
      <w:pPr>
        <w:pStyle w:val="Paragraphedeliste"/>
        <w:spacing w:after="0"/>
        <w:ind w:left="1211"/>
        <w:jc w:val="both"/>
      </w:pPr>
    </w:p>
    <w:p w:rsidR="0073301C" w:rsidRDefault="0073301C">
      <w:pPr>
        <w:spacing w:after="0"/>
        <w:jc w:val="both"/>
      </w:pPr>
    </w:p>
    <w:p w:rsidR="0073301C" w:rsidRDefault="0064038E">
      <w:pPr>
        <w:pBdr>
          <w:top w:val="single" w:sz="4" w:space="1" w:color="000000"/>
          <w:left w:val="single" w:sz="4" w:space="4" w:color="000000"/>
          <w:bottom w:val="single" w:sz="4" w:space="1" w:color="000000"/>
          <w:right w:val="single" w:sz="4" w:space="4" w:color="000000"/>
        </w:pBdr>
        <w:shd w:val="clear" w:color="auto" w:fill="2F5496" w:themeFill="accent1" w:themeFillShade="BF"/>
        <w:jc w:val="center"/>
        <w:rPr>
          <w:b/>
          <w:bCs/>
          <w:color w:val="FFFFFF" w:themeColor="background1"/>
          <w:sz w:val="28"/>
          <w:szCs w:val="28"/>
        </w:rPr>
      </w:pPr>
      <w:r>
        <w:rPr>
          <w:b/>
          <w:bCs/>
          <w:color w:val="FFFFFF" w:themeColor="background1"/>
          <w:sz w:val="28"/>
          <w:szCs w:val="28"/>
        </w:rPr>
        <w:t>II- PILOTAGE DE L’ACTIVITE FINANCIERE DES ETABLISSEMENTS</w:t>
      </w:r>
    </w:p>
    <w:p w:rsidR="0073301C" w:rsidRDefault="0064038E">
      <w:pPr>
        <w:shd w:val="clear" w:color="auto" w:fill="B4C6E7" w:themeFill="accent1" w:themeFillTint="66"/>
        <w:jc w:val="both"/>
      </w:pPr>
      <w:r>
        <w:rPr>
          <w:b/>
          <w:bCs/>
          <w:u w:val="single"/>
        </w:rPr>
        <w:t>Article 4</w:t>
      </w:r>
      <w:r>
        <w:t xml:space="preserve"> : Les </w:t>
      </w:r>
      <w:r>
        <w:t>instances de concertation des services ordonnateur/comptable</w:t>
      </w:r>
    </w:p>
    <w:p w:rsidR="0073301C" w:rsidRDefault="0073301C">
      <w:pPr>
        <w:spacing w:after="0"/>
        <w:jc w:val="both"/>
        <w:rPr>
          <w:u w:val="single"/>
        </w:rPr>
      </w:pPr>
    </w:p>
    <w:p w:rsidR="0073301C" w:rsidRDefault="0064038E">
      <w:pPr>
        <w:shd w:val="clear" w:color="auto" w:fill="D9E2F3" w:themeFill="accent1" w:themeFillTint="33"/>
        <w:spacing w:after="0"/>
        <w:jc w:val="both"/>
      </w:pPr>
      <w:r>
        <w:rPr>
          <w:u w:val="single"/>
        </w:rPr>
        <w:t>Article 4.1</w:t>
      </w:r>
      <w:r>
        <w:t> : Le conseil d’agence comptable</w:t>
      </w:r>
    </w:p>
    <w:p w:rsidR="0073301C" w:rsidRDefault="0073301C">
      <w:pPr>
        <w:spacing w:after="0"/>
        <w:jc w:val="both"/>
      </w:pPr>
    </w:p>
    <w:p w:rsidR="0073301C" w:rsidRDefault="0064038E">
      <w:pPr>
        <w:spacing w:after="0"/>
        <w:jc w:val="both"/>
      </w:pPr>
      <w:r>
        <w:t>Un « conseil d’agence comptable » est institué entre les services ordonnateurs et comptables. Il est composé de l’agent comptable, de son adjoint fon</w:t>
      </w:r>
      <w:r>
        <w:t xml:space="preserve">dé de pouvoir, des ordonnateurs et des secrétaires généraux des établissements membres du groupement. </w:t>
      </w:r>
    </w:p>
    <w:p w:rsidR="0073301C" w:rsidRDefault="0064038E">
      <w:pPr>
        <w:spacing w:after="0"/>
        <w:jc w:val="both"/>
      </w:pPr>
      <w:r>
        <w:t xml:space="preserve">Ce conseil se réunit au moins </w:t>
      </w:r>
      <w:r>
        <w:rPr>
          <w:iCs/>
        </w:rPr>
        <w:t>une</w:t>
      </w:r>
      <w:r>
        <w:rPr>
          <w:i/>
          <w:iCs/>
        </w:rPr>
        <w:t xml:space="preserve"> </w:t>
      </w:r>
      <w:r>
        <w:t xml:space="preserve">fois par an pour examiner toute question liée au fonctionnement de l’agence comptable et notamment : </w:t>
      </w:r>
    </w:p>
    <w:p w:rsidR="0073301C" w:rsidRDefault="0064038E">
      <w:pPr>
        <w:pStyle w:val="Paragraphedeliste"/>
        <w:numPr>
          <w:ilvl w:val="0"/>
          <w:numId w:val="2"/>
        </w:numPr>
        <w:spacing w:after="0"/>
        <w:jc w:val="both"/>
      </w:pPr>
      <w:r>
        <w:t>Elaborer le budge</w:t>
      </w:r>
      <w:r>
        <w:t>t du groupement de service et le montant de la participation de chacun de ses membres ;</w:t>
      </w:r>
    </w:p>
    <w:p w:rsidR="0073301C" w:rsidRDefault="0064038E">
      <w:pPr>
        <w:pStyle w:val="Paragraphedeliste"/>
        <w:numPr>
          <w:ilvl w:val="0"/>
          <w:numId w:val="2"/>
        </w:numPr>
        <w:spacing w:after="0"/>
        <w:jc w:val="both"/>
      </w:pPr>
      <w:r>
        <w:t>Faire un bilan sur les évolutions budgétaires et comptables depuis le dernier conseil ;</w:t>
      </w:r>
    </w:p>
    <w:p w:rsidR="0073301C" w:rsidRDefault="0064038E">
      <w:pPr>
        <w:pStyle w:val="Paragraphedeliste"/>
        <w:numPr>
          <w:ilvl w:val="0"/>
          <w:numId w:val="2"/>
        </w:numPr>
        <w:spacing w:after="0"/>
        <w:jc w:val="both"/>
      </w:pPr>
      <w:r>
        <w:t>L'avancement du contrôle interne comptable et financier et des actions de maîtri</w:t>
      </w:r>
      <w:r>
        <w:t>se des risques mises en œuvre</w:t>
      </w:r>
      <w:r>
        <w:t>.</w:t>
      </w:r>
    </w:p>
    <w:p w:rsidR="0073301C" w:rsidRDefault="0073301C">
      <w:pPr>
        <w:spacing w:after="0"/>
        <w:jc w:val="both"/>
      </w:pPr>
    </w:p>
    <w:p w:rsidR="0073301C" w:rsidRDefault="0073301C">
      <w:pPr>
        <w:spacing w:after="0"/>
        <w:jc w:val="both"/>
      </w:pPr>
    </w:p>
    <w:p w:rsidR="0073301C" w:rsidRDefault="0073301C">
      <w:pPr>
        <w:spacing w:after="0"/>
        <w:jc w:val="both"/>
      </w:pPr>
    </w:p>
    <w:p w:rsidR="0073301C" w:rsidRDefault="0073301C">
      <w:pPr>
        <w:spacing w:after="0"/>
        <w:jc w:val="both"/>
      </w:pPr>
    </w:p>
    <w:p w:rsidR="0073301C" w:rsidRDefault="0073301C">
      <w:pPr>
        <w:pStyle w:val="Paragraphedeliste"/>
        <w:spacing w:after="0"/>
        <w:ind w:left="142" w:hanging="142"/>
        <w:jc w:val="both"/>
      </w:pPr>
    </w:p>
    <w:p w:rsidR="0073301C" w:rsidRDefault="0064038E">
      <w:pPr>
        <w:shd w:val="clear" w:color="auto" w:fill="D9E2F3" w:themeFill="accent1" w:themeFillTint="33"/>
        <w:spacing w:after="0"/>
        <w:ind w:left="142" w:hanging="142"/>
      </w:pPr>
      <w:r>
        <w:rPr>
          <w:u w:val="single"/>
        </w:rPr>
        <w:lastRenderedPageBreak/>
        <w:t>Article 4.2</w:t>
      </w:r>
      <w:r>
        <w:t> : Le conseil technique d’agence comptable</w:t>
      </w:r>
    </w:p>
    <w:p w:rsidR="0073301C" w:rsidRDefault="0073301C">
      <w:pPr>
        <w:spacing w:after="0"/>
        <w:jc w:val="both"/>
      </w:pPr>
    </w:p>
    <w:p w:rsidR="0073301C" w:rsidRDefault="0064038E">
      <w:pPr>
        <w:spacing w:after="0"/>
        <w:jc w:val="both"/>
      </w:pPr>
      <w:r>
        <w:t>Un « conseil technique d’agence comptable » est institué entre les services de l’ordonnateur et du comptable. Il est composé de l’agent comptable et de ses collabor</w:t>
      </w:r>
      <w:r>
        <w:t xml:space="preserve">ateurs ainsi que des secrétaires généraux des établissements rattachés et de leurs collaborateurs. </w:t>
      </w:r>
    </w:p>
    <w:p w:rsidR="0073301C" w:rsidRDefault="0064038E">
      <w:pPr>
        <w:spacing w:after="0"/>
        <w:jc w:val="both"/>
      </w:pPr>
      <w:r>
        <w:t xml:space="preserve">Ce conseil se réunit </w:t>
      </w:r>
      <w:r>
        <w:rPr>
          <w:iCs/>
        </w:rPr>
        <w:t>une fois par trimestre</w:t>
      </w:r>
      <w:r>
        <w:t xml:space="preserve"> pour examiner toute question liée au fonctionnement et à l’organisation de l’</w:t>
      </w:r>
      <w:r>
        <w:t>agence comptable. Son ordre du jo</w:t>
      </w:r>
      <w:r>
        <w:t>ur est défini conformément au calendrier des opérations annuelles de l’établissement</w:t>
      </w:r>
      <w:r>
        <w:rPr>
          <w:rStyle w:val="Appelnotedebasdep"/>
        </w:rPr>
        <w:footnoteReference w:id="1"/>
      </w:r>
      <w:r>
        <w:t xml:space="preserve">. </w:t>
      </w:r>
    </w:p>
    <w:p w:rsidR="0073301C" w:rsidRDefault="0073301C">
      <w:pPr>
        <w:spacing w:after="0"/>
        <w:rPr>
          <w:b/>
          <w:bCs/>
          <w:u w:val="single"/>
        </w:rPr>
      </w:pPr>
    </w:p>
    <w:p w:rsidR="0073301C" w:rsidRDefault="0064038E">
      <w:pPr>
        <w:shd w:val="clear" w:color="auto" w:fill="B4C6E7" w:themeFill="accent1" w:themeFillTint="66"/>
        <w:spacing w:after="0"/>
        <w:jc w:val="both"/>
        <w:rPr>
          <w:i/>
          <w:iCs/>
        </w:rPr>
      </w:pPr>
      <w:r>
        <w:rPr>
          <w:b/>
          <w:bCs/>
          <w:u w:val="single"/>
        </w:rPr>
        <w:t>Article 5</w:t>
      </w:r>
      <w:r>
        <w:rPr>
          <w:i/>
          <w:iCs/>
        </w:rPr>
        <w:t xml:space="preserve"> : </w:t>
      </w:r>
      <w:r>
        <w:t>Frais de déplacement</w:t>
      </w:r>
    </w:p>
    <w:p w:rsidR="0073301C" w:rsidRDefault="0073301C">
      <w:pPr>
        <w:spacing w:after="0" w:line="240" w:lineRule="auto"/>
        <w:jc w:val="both"/>
      </w:pPr>
    </w:p>
    <w:p w:rsidR="0073301C" w:rsidRDefault="0064038E">
      <w:pPr>
        <w:spacing w:after="0" w:line="240" w:lineRule="auto"/>
        <w:jc w:val="both"/>
      </w:pPr>
      <w:r>
        <w:t>Les frais de déplacement du gestionnaire entre l’établissement rattaché et l’agence comptable sont imputés sur le budget de l’établissement rattaché. Les frais de déplacements de l’agent comptable entre les établissements membres du groupement comptable so</w:t>
      </w:r>
      <w:r>
        <w:t xml:space="preserve">nt imputés sur le budget de l’établissement support de l’agence comptable. </w:t>
      </w:r>
    </w:p>
    <w:p w:rsidR="0073301C" w:rsidRDefault="0073301C">
      <w:pPr>
        <w:spacing w:after="0" w:line="240" w:lineRule="auto"/>
        <w:jc w:val="both"/>
      </w:pPr>
    </w:p>
    <w:p w:rsidR="0073301C" w:rsidRDefault="0064038E">
      <w:pPr>
        <w:shd w:val="clear" w:color="auto" w:fill="B4C6E7" w:themeFill="accent1" w:themeFillTint="66"/>
        <w:spacing w:after="0"/>
      </w:pPr>
      <w:r>
        <w:rPr>
          <w:b/>
          <w:bCs/>
          <w:u w:val="single"/>
        </w:rPr>
        <w:t>Article 6</w:t>
      </w:r>
      <w:r>
        <w:t> : Participation aux charges de fonctionnement, le cas échéant</w:t>
      </w:r>
    </w:p>
    <w:p w:rsidR="0073301C" w:rsidRDefault="0073301C">
      <w:pPr>
        <w:spacing w:after="0"/>
        <w:jc w:val="both"/>
      </w:pPr>
    </w:p>
    <w:p w:rsidR="0073301C" w:rsidRDefault="0064038E">
      <w:pPr>
        <w:spacing w:after="0"/>
        <w:jc w:val="both"/>
      </w:pPr>
      <w:r>
        <w:t>Les charges de fonctionnement sont facturées annuellement par l’agence comptable aux établissements rattac</w:t>
      </w:r>
      <w:r>
        <w:t>hés.  Le mode de calcul de la répartition des frais par établissement est le suivant </w:t>
      </w:r>
      <w:r>
        <w:rPr>
          <w:i/>
          <w:iCs/>
        </w:rPr>
        <w:t>: à déterminer</w:t>
      </w:r>
      <w:r>
        <w:t xml:space="preserve">. Il est révisable par proposition du conseil d’agence comptable, approuvé par chaque conseil d’administration. </w:t>
      </w:r>
    </w:p>
    <w:p w:rsidR="0073301C" w:rsidRDefault="0064038E">
      <w:pPr>
        <w:spacing w:after="0"/>
        <w:jc w:val="both"/>
        <w:rPr>
          <w:i/>
          <w:iCs/>
        </w:rPr>
      </w:pPr>
      <w:r>
        <w:t>Les charges induites par la tenu</w:t>
      </w:r>
      <w:bookmarkStart w:id="0" w:name="_GoBack"/>
      <w:bookmarkEnd w:id="0"/>
      <w:r>
        <w:t>e de la comp</w:t>
      </w:r>
      <w:r>
        <w:t>tabilité du groupement sont les suivantes :</w:t>
      </w:r>
      <w:r>
        <w:rPr>
          <w:i/>
          <w:iCs/>
        </w:rPr>
        <w:t xml:space="preserve"> </w:t>
      </w:r>
    </w:p>
    <w:p w:rsidR="0073301C" w:rsidRDefault="0064038E">
      <w:pPr>
        <w:pStyle w:val="Paragraphedeliste"/>
        <w:numPr>
          <w:ilvl w:val="0"/>
          <w:numId w:val="1"/>
        </w:numPr>
        <w:spacing w:after="0"/>
        <w:jc w:val="both"/>
        <w:rPr>
          <w:i/>
          <w:iCs/>
        </w:rPr>
      </w:pPr>
      <w:r>
        <w:rPr>
          <w:i/>
          <w:iCs/>
        </w:rPr>
        <w:t>Equipement, entretien et réparation du matériel de l’agence comptable</w:t>
      </w:r>
    </w:p>
    <w:p w:rsidR="0073301C" w:rsidRDefault="0064038E">
      <w:pPr>
        <w:pStyle w:val="Paragraphedeliste"/>
        <w:numPr>
          <w:ilvl w:val="0"/>
          <w:numId w:val="1"/>
        </w:numPr>
        <w:spacing w:after="0"/>
        <w:jc w:val="both"/>
        <w:rPr>
          <w:i/>
          <w:iCs/>
        </w:rPr>
      </w:pPr>
      <w:r>
        <w:rPr>
          <w:i/>
          <w:iCs/>
        </w:rPr>
        <w:t>Petite papeterie et imprimés, photocopies,</w:t>
      </w:r>
    </w:p>
    <w:p w:rsidR="0073301C" w:rsidRDefault="0064038E">
      <w:pPr>
        <w:pStyle w:val="Paragraphedeliste"/>
        <w:numPr>
          <w:ilvl w:val="0"/>
          <w:numId w:val="1"/>
        </w:numPr>
        <w:spacing w:after="0"/>
        <w:jc w:val="both"/>
        <w:rPr>
          <w:i/>
          <w:iCs/>
        </w:rPr>
      </w:pPr>
      <w:r>
        <w:rPr>
          <w:i/>
          <w:iCs/>
        </w:rPr>
        <w:t>Frais de téléphone, télécopie, frais postaux, notamment liés au recouvrement</w:t>
      </w:r>
    </w:p>
    <w:p w:rsidR="0073301C" w:rsidRDefault="0064038E">
      <w:pPr>
        <w:pStyle w:val="Paragraphedeliste"/>
        <w:numPr>
          <w:ilvl w:val="0"/>
          <w:numId w:val="1"/>
        </w:numPr>
        <w:spacing w:after="0"/>
        <w:jc w:val="both"/>
        <w:rPr>
          <w:i/>
          <w:iCs/>
        </w:rPr>
      </w:pPr>
      <w:r>
        <w:rPr>
          <w:i/>
          <w:iCs/>
        </w:rPr>
        <w:t>Toute autre dépense l</w:t>
      </w:r>
      <w:r>
        <w:rPr>
          <w:i/>
          <w:iCs/>
        </w:rPr>
        <w:t xml:space="preserve">iée au fonctionnement du groupement de service </w:t>
      </w:r>
    </w:p>
    <w:p w:rsidR="0073301C" w:rsidRDefault="0073301C">
      <w:pPr>
        <w:pStyle w:val="Paragraphedeliste"/>
        <w:spacing w:after="0"/>
        <w:ind w:left="1211"/>
        <w:jc w:val="both"/>
        <w:rPr>
          <w:i/>
          <w:iCs/>
        </w:rPr>
      </w:pPr>
    </w:p>
    <w:p w:rsidR="0073301C" w:rsidRDefault="0073301C">
      <w:pPr>
        <w:spacing w:after="0"/>
        <w:jc w:val="both"/>
      </w:pPr>
    </w:p>
    <w:p w:rsidR="0073301C" w:rsidRDefault="0064038E">
      <w:pPr>
        <w:pBdr>
          <w:top w:val="single" w:sz="4" w:space="0" w:color="000000"/>
          <w:left w:val="single" w:sz="4" w:space="4" w:color="000000"/>
          <w:bottom w:val="single" w:sz="4" w:space="1" w:color="000000"/>
          <w:right w:val="single" w:sz="4" w:space="4" w:color="000000"/>
        </w:pBdr>
        <w:shd w:val="clear" w:color="auto" w:fill="2F5496" w:themeFill="accent1" w:themeFillShade="BF"/>
        <w:spacing w:after="0"/>
        <w:jc w:val="center"/>
        <w:rPr>
          <w:b/>
          <w:bCs/>
          <w:color w:val="FFFFFF" w:themeColor="background1"/>
          <w:sz w:val="28"/>
          <w:szCs w:val="28"/>
        </w:rPr>
      </w:pPr>
      <w:r>
        <w:rPr>
          <w:b/>
          <w:bCs/>
          <w:color w:val="FFFFFF" w:themeColor="background1"/>
          <w:sz w:val="28"/>
          <w:szCs w:val="28"/>
        </w:rPr>
        <w:t>III- LES ENGAGEMENTS RECIPROQUES</w:t>
      </w:r>
    </w:p>
    <w:p w:rsidR="0073301C" w:rsidRDefault="0073301C">
      <w:pPr>
        <w:spacing w:after="0"/>
        <w:jc w:val="both"/>
      </w:pPr>
    </w:p>
    <w:p w:rsidR="0073301C" w:rsidRDefault="0064038E">
      <w:pPr>
        <w:spacing w:after="0"/>
        <w:jc w:val="both"/>
      </w:pPr>
      <w:r>
        <w:t xml:space="preserve">Les services ordonnateur et comptable s’engagent à tout mettre en œuvre pour faciliter et simplifier leur coopération dans le cadre de l’exécution des opérations </w:t>
      </w:r>
      <w:r>
        <w:t>budgétaires et comptables.</w:t>
      </w:r>
    </w:p>
    <w:p w:rsidR="0073301C" w:rsidRDefault="0073301C">
      <w:pPr>
        <w:spacing w:after="0"/>
        <w:jc w:val="both"/>
      </w:pPr>
    </w:p>
    <w:p w:rsidR="0073301C" w:rsidRDefault="0064038E">
      <w:pPr>
        <w:shd w:val="clear" w:color="auto" w:fill="B4C6E7" w:themeFill="accent1" w:themeFillTint="66"/>
        <w:spacing w:after="0"/>
        <w:jc w:val="both"/>
      </w:pPr>
      <w:r>
        <w:rPr>
          <w:b/>
          <w:bCs/>
          <w:u w:val="single"/>
        </w:rPr>
        <w:t>Article 7</w:t>
      </w:r>
      <w:r>
        <w:t> : Le respect des délais de règlements conventionnels</w:t>
      </w:r>
    </w:p>
    <w:p w:rsidR="0073301C" w:rsidRDefault="0073301C">
      <w:pPr>
        <w:spacing w:after="0"/>
        <w:jc w:val="both"/>
      </w:pPr>
    </w:p>
    <w:p w:rsidR="0073301C" w:rsidRDefault="0064038E">
      <w:pPr>
        <w:spacing w:after="0"/>
        <w:jc w:val="both"/>
      </w:pPr>
      <w:r>
        <w:t xml:space="preserve">En application de l’article R.2192-10 du code de la commande publique, le délai global de paiement des factures s’élève à 30 jours. </w:t>
      </w:r>
    </w:p>
    <w:p w:rsidR="0073301C" w:rsidRDefault="0064038E">
      <w:pPr>
        <w:spacing w:after="0"/>
        <w:jc w:val="both"/>
      </w:pPr>
      <w:r>
        <w:t xml:space="preserve">Par la présente convention, le </w:t>
      </w:r>
      <w:r>
        <w:t xml:space="preserve">délai de règlement dévolu à l’agent comptable est fixé à </w:t>
      </w:r>
      <w:r>
        <w:rPr>
          <w:i/>
        </w:rPr>
        <w:t xml:space="preserve">(à déterminer : </w:t>
      </w:r>
      <w:r>
        <w:rPr>
          <w:i/>
          <w:color w:val="767171" w:themeColor="background2" w:themeShade="80"/>
        </w:rPr>
        <w:t>10</w:t>
      </w:r>
      <w:r>
        <w:rPr>
          <w:i/>
        </w:rPr>
        <w:t xml:space="preserve"> jours, par exemple) </w:t>
      </w:r>
      <w:r>
        <w:t xml:space="preserve">permettant à l’ordonnateur de disposer d’un délai de </w:t>
      </w:r>
      <w:r>
        <w:rPr>
          <w:i/>
        </w:rPr>
        <w:t xml:space="preserve">(à déterminer : </w:t>
      </w:r>
      <w:r>
        <w:rPr>
          <w:i/>
          <w:color w:val="767171" w:themeColor="background2" w:themeShade="80"/>
        </w:rPr>
        <w:t>20</w:t>
      </w:r>
      <w:r>
        <w:rPr>
          <w:i/>
        </w:rPr>
        <w:t xml:space="preserve"> jours, </w:t>
      </w:r>
      <w:r>
        <w:rPr>
          <w:i/>
        </w:rPr>
        <w:lastRenderedPageBreak/>
        <w:t xml:space="preserve">par exemple) </w:t>
      </w:r>
      <w:r>
        <w:t>à compter de la date de réception des factures, pour procéder au dép</w:t>
      </w:r>
      <w:r>
        <w:t xml:space="preserve">ôt des demandes de paiement. </w:t>
      </w:r>
    </w:p>
    <w:p w:rsidR="0073301C" w:rsidRDefault="0064038E">
      <w:pPr>
        <w:spacing w:after="0"/>
        <w:jc w:val="both"/>
      </w:pPr>
      <w:r>
        <w:t xml:space="preserve">Afin de respecter ce délai, il est convenu que : </w:t>
      </w:r>
    </w:p>
    <w:p w:rsidR="0073301C" w:rsidRDefault="0064038E">
      <w:pPr>
        <w:pStyle w:val="Paragraphedeliste"/>
        <w:numPr>
          <w:ilvl w:val="0"/>
          <w:numId w:val="3"/>
        </w:numPr>
        <w:spacing w:after="0"/>
        <w:jc w:val="both"/>
      </w:pPr>
      <w:r>
        <w:t>L’ordonnateur et ses services procèdent à des demandes de paiement régulières, selon le calendrier établi par l’agence comptable ;</w:t>
      </w:r>
    </w:p>
    <w:p w:rsidR="0073301C" w:rsidRDefault="0064038E">
      <w:pPr>
        <w:pStyle w:val="Paragraphedeliste"/>
        <w:numPr>
          <w:ilvl w:val="0"/>
          <w:numId w:val="3"/>
        </w:numPr>
        <w:spacing w:after="0"/>
        <w:jc w:val="both"/>
      </w:pPr>
      <w:r>
        <w:t>L’ordonnateur signale à l’agent comptable une</w:t>
      </w:r>
      <w:r>
        <w:t xml:space="preserve"> demande de paiement liée à des factures urgentes à payer (pour lesquelles le délai global de paiement est susceptible d’être dépassé) ; Dans le cas exceptionnel d’une facture reçue hors Chorus Pro, l’ordonnateur s’engage à y apposer la date de réception p</w:t>
      </w:r>
      <w:r>
        <w:t>ar l’établissement.</w:t>
      </w:r>
    </w:p>
    <w:p w:rsidR="0073301C" w:rsidRDefault="0073301C">
      <w:pPr>
        <w:pStyle w:val="Paragraphedeliste"/>
        <w:spacing w:after="0"/>
        <w:jc w:val="both"/>
      </w:pPr>
    </w:p>
    <w:p w:rsidR="0073301C" w:rsidRDefault="0064038E">
      <w:pPr>
        <w:shd w:val="clear" w:color="auto" w:fill="B4C6E7" w:themeFill="accent1" w:themeFillTint="66"/>
        <w:spacing w:after="0"/>
        <w:jc w:val="both"/>
      </w:pPr>
      <w:r>
        <w:rPr>
          <w:b/>
          <w:bCs/>
          <w:u w:val="single"/>
        </w:rPr>
        <w:t>Article 8</w:t>
      </w:r>
      <w:r>
        <w:t xml:space="preserve"> : La comptabilité matière, patrimoine de l'établissement</w:t>
      </w:r>
    </w:p>
    <w:p w:rsidR="0073301C" w:rsidRDefault="0073301C">
      <w:pPr>
        <w:spacing w:after="0"/>
        <w:jc w:val="both"/>
      </w:pPr>
    </w:p>
    <w:p w:rsidR="0073301C" w:rsidRDefault="0064038E">
      <w:pPr>
        <w:spacing w:after="0"/>
        <w:jc w:val="both"/>
      </w:pPr>
      <w:r>
        <w:t>La gestion quotidienne des stocks est organisée par l’établissement (suivi effectué par un responsable de magasin, par le directeur délégué aux formations professionne</w:t>
      </w:r>
      <w:r>
        <w:t>lles ou par un enseignant), sous le contrôle du secrétaire général. Le suivi des stocks de l’établissement (denrées alimentaires, matières d’œuvre, objets confectionnés) se fait sous la responsabilité de l’agent comptable, qui procédera périodiquement à so</w:t>
      </w:r>
      <w:r>
        <w:t>n contrôle. Cette vérification donne lieu à procès-verbal. Le chef d'établissement s'engage à signaler sans délai à l'agent comptable toute information relative à la conservation matérielle des biens constituant le patrimoine de l'établissement (changement</w:t>
      </w:r>
      <w:r>
        <w:t xml:space="preserve"> d'affectation, prêt, vol, destruction).</w:t>
      </w:r>
    </w:p>
    <w:p w:rsidR="0073301C" w:rsidRDefault="0064038E">
      <w:pPr>
        <w:shd w:val="clear" w:color="auto" w:fill="B4C6E7" w:themeFill="accent1" w:themeFillTint="66"/>
        <w:spacing w:before="240" w:after="0"/>
        <w:jc w:val="both"/>
      </w:pPr>
      <w:r>
        <w:rPr>
          <w:b/>
          <w:bCs/>
          <w:u w:val="single"/>
        </w:rPr>
        <w:t xml:space="preserve">Article </w:t>
      </w:r>
      <w:r>
        <w:rPr>
          <w:b/>
          <w:u w:val="single"/>
        </w:rPr>
        <w:t>9</w:t>
      </w:r>
      <w:r>
        <w:rPr>
          <w:b/>
        </w:rPr>
        <w:t xml:space="preserve"> </w:t>
      </w:r>
      <w:r>
        <w:t>: Mise en place/suivi de la maitrise des risques comptables et financiers</w:t>
      </w:r>
    </w:p>
    <w:p w:rsidR="0073301C" w:rsidRDefault="0073301C">
      <w:pPr>
        <w:spacing w:after="0"/>
        <w:jc w:val="both"/>
      </w:pPr>
    </w:p>
    <w:p w:rsidR="0073301C" w:rsidRDefault="0064038E">
      <w:pPr>
        <w:spacing w:after="0"/>
        <w:jc w:val="both"/>
      </w:pPr>
      <w:r>
        <w:t>L’agent comptable s’engage à piloter la mise en œuvre du contrôle interne financier. Chaque ordonnateur s’engage à produire un fic</w:t>
      </w:r>
      <w:r>
        <w:t xml:space="preserve">hier de cartographie des risques, les plans d’actions associés ainsi qu’un organigramme fonctionnel nominatif. Ces documents sont à mettre à jour au moins une fois par an. </w:t>
      </w:r>
    </w:p>
    <w:p w:rsidR="0073301C" w:rsidRDefault="0073301C">
      <w:pPr>
        <w:spacing w:after="0"/>
        <w:jc w:val="both"/>
      </w:pPr>
    </w:p>
    <w:p w:rsidR="0073301C" w:rsidRDefault="0073301C">
      <w:pPr>
        <w:spacing w:after="0"/>
        <w:jc w:val="both"/>
      </w:pPr>
    </w:p>
    <w:p w:rsidR="0073301C" w:rsidRDefault="0064038E">
      <w:pPr>
        <w:pBdr>
          <w:top w:val="single" w:sz="4" w:space="0" w:color="000000"/>
          <w:left w:val="single" w:sz="4" w:space="4" w:color="000000"/>
          <w:bottom w:val="single" w:sz="4" w:space="1" w:color="000000"/>
          <w:right w:val="single" w:sz="4" w:space="4" w:color="000000"/>
        </w:pBdr>
        <w:shd w:val="clear" w:color="auto" w:fill="2F5496" w:themeFill="accent1" w:themeFillShade="BF"/>
        <w:spacing w:after="0"/>
        <w:jc w:val="center"/>
        <w:rPr>
          <w:b/>
          <w:bCs/>
          <w:color w:val="FFFFFF" w:themeColor="background1"/>
          <w:sz w:val="28"/>
          <w:szCs w:val="28"/>
        </w:rPr>
      </w:pPr>
      <w:r>
        <w:rPr>
          <w:b/>
          <w:bCs/>
          <w:color w:val="FFFFFF" w:themeColor="background1"/>
          <w:sz w:val="28"/>
          <w:szCs w:val="28"/>
        </w:rPr>
        <w:t>IV- DATE D’EFFET, DUREE, CONDITION DE MODIFICATION ET DE RESILIATION</w:t>
      </w:r>
    </w:p>
    <w:p w:rsidR="0073301C" w:rsidRDefault="0073301C">
      <w:pPr>
        <w:pStyle w:val="Paragraphedeliste"/>
        <w:spacing w:after="0"/>
        <w:ind w:left="1440"/>
        <w:jc w:val="both"/>
      </w:pPr>
    </w:p>
    <w:p w:rsidR="0073301C" w:rsidRDefault="0064038E">
      <w:pPr>
        <w:shd w:val="clear" w:color="auto" w:fill="B4C6E7" w:themeFill="accent1" w:themeFillTint="66"/>
        <w:jc w:val="both"/>
        <w:rPr>
          <w:b/>
          <w:bCs/>
          <w:u w:val="single"/>
        </w:rPr>
      </w:pPr>
      <w:r>
        <w:rPr>
          <w:b/>
          <w:bCs/>
          <w:u w:val="single"/>
        </w:rPr>
        <w:t xml:space="preserve">Article 10 : </w:t>
      </w:r>
      <w:r>
        <w:rPr>
          <w:b/>
          <w:bCs/>
        </w:rPr>
        <w:t>Réviser et/ou résilier la présente convention</w:t>
      </w:r>
    </w:p>
    <w:p w:rsidR="0073301C" w:rsidRDefault="0064038E">
      <w:pPr>
        <w:jc w:val="both"/>
      </w:pPr>
      <w:r>
        <w:t xml:space="preserve">La convention entre en vigueur à compter de la date de sa dernière signature, après accord des conseils d’administration compétents. </w:t>
      </w:r>
    </w:p>
    <w:p w:rsidR="0073301C" w:rsidRDefault="0064038E">
      <w:pPr>
        <w:spacing w:after="0"/>
        <w:jc w:val="both"/>
      </w:pPr>
      <w:r>
        <w:t xml:space="preserve">Elle peut être modifiée à l’initiative de l’une ou l’autre des </w:t>
      </w:r>
      <w:r>
        <w:t>parties sous réserve de l’accord de l’autre partie, par voie d’avenant. La résolution d’un éventuel litige pourrait être soumis à l’avis de l’autorité académique, voire tranchée par le tribunal compétent.</w:t>
      </w:r>
    </w:p>
    <w:p w:rsidR="0073301C" w:rsidRDefault="0073301C">
      <w:pPr>
        <w:spacing w:after="0"/>
        <w:jc w:val="both"/>
      </w:pPr>
    </w:p>
    <w:p w:rsidR="0073301C" w:rsidRDefault="0064038E">
      <w:pPr>
        <w:spacing w:after="0"/>
        <w:jc w:val="both"/>
      </w:pPr>
      <w:r>
        <w:t>Elle devient obligatoirement caduque en cas de dis</w:t>
      </w:r>
      <w:r>
        <w:t xml:space="preserve">solution du groupement comptable par décision de l'autorité académique.  </w:t>
      </w:r>
    </w:p>
    <w:p w:rsidR="0073301C" w:rsidRDefault="0073301C">
      <w:pPr>
        <w:spacing w:after="0"/>
        <w:jc w:val="both"/>
      </w:pPr>
    </w:p>
    <w:sectPr w:rsidR="0073301C">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4038E">
      <w:pPr>
        <w:spacing w:after="0" w:line="240" w:lineRule="auto"/>
      </w:pPr>
      <w:r>
        <w:separator/>
      </w:r>
    </w:p>
  </w:endnote>
  <w:endnote w:type="continuationSeparator" w:id="0">
    <w:p w:rsidR="00000000" w:rsidRDefault="0064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1"/>
    <w:family w:val="swiss"/>
    <w:pitch w:val="variable"/>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01C" w:rsidRDefault="0064038E">
      <w:r>
        <w:separator/>
      </w:r>
    </w:p>
  </w:footnote>
  <w:footnote w:type="continuationSeparator" w:id="0">
    <w:p w:rsidR="0073301C" w:rsidRDefault="0064038E">
      <w:r>
        <w:continuationSeparator/>
      </w:r>
    </w:p>
  </w:footnote>
  <w:footnote w:id="1">
    <w:p w:rsidR="0073301C" w:rsidRDefault="0064038E">
      <w:pPr>
        <w:spacing w:after="0"/>
        <w:jc w:val="both"/>
        <w:rPr>
          <w:sz w:val="16"/>
        </w:rPr>
      </w:pPr>
      <w:r>
        <w:rPr>
          <w:rStyle w:val="Caractresdenotedebasdepage"/>
        </w:rPr>
        <w:footnoteRef/>
      </w:r>
      <w:r>
        <w:rPr>
          <w:sz w:val="16"/>
        </w:rPr>
        <w:t xml:space="preserve"> </w:t>
      </w:r>
      <w:r>
        <w:rPr>
          <w:sz w:val="16"/>
          <w:u w:val="single"/>
        </w:rPr>
        <w:t>1</w:t>
      </w:r>
      <w:r>
        <w:rPr>
          <w:sz w:val="16"/>
          <w:u w:val="single"/>
          <w:vertAlign w:val="superscript"/>
        </w:rPr>
        <w:t>er</w:t>
      </w:r>
      <w:r>
        <w:rPr>
          <w:sz w:val="16"/>
          <w:u w:val="single"/>
        </w:rPr>
        <w:t xml:space="preserve"> trimestre</w:t>
      </w:r>
      <w:r>
        <w:rPr>
          <w:sz w:val="16"/>
        </w:rPr>
        <w:t xml:space="preserve"> : accueil et présentation des nouveaux membres du groupement/ élaboration du calendrier </w:t>
      </w:r>
      <w:r>
        <w:rPr>
          <w:sz w:val="16"/>
        </w:rPr>
        <w:t>annuel des opérations comptables / point d’information sur l’élaboration des budgets / point d’information sur les bourses</w:t>
      </w:r>
    </w:p>
    <w:p w:rsidR="0073301C" w:rsidRDefault="0064038E">
      <w:pPr>
        <w:spacing w:after="0"/>
        <w:jc w:val="both"/>
        <w:rPr>
          <w:sz w:val="16"/>
        </w:rPr>
      </w:pPr>
      <w:r>
        <w:rPr>
          <w:sz w:val="16"/>
          <w:u w:val="single"/>
        </w:rPr>
        <w:t>2</w:t>
      </w:r>
      <w:r>
        <w:rPr>
          <w:sz w:val="16"/>
          <w:u w:val="single"/>
          <w:vertAlign w:val="superscript"/>
        </w:rPr>
        <w:t>ème</w:t>
      </w:r>
      <w:r>
        <w:rPr>
          <w:sz w:val="16"/>
          <w:u w:val="single"/>
        </w:rPr>
        <w:t xml:space="preserve"> trimestre </w:t>
      </w:r>
      <w:r>
        <w:rPr>
          <w:sz w:val="16"/>
        </w:rPr>
        <w:t xml:space="preserve">:  instructions ou bilan relatifs à la clôture des comptes / compte financier / mise à jour du contrôle interne </w:t>
      </w:r>
      <w:r>
        <w:rPr>
          <w:sz w:val="16"/>
        </w:rPr>
        <w:t>financier</w:t>
      </w:r>
    </w:p>
    <w:p w:rsidR="0073301C" w:rsidRDefault="0064038E">
      <w:pPr>
        <w:spacing w:after="0"/>
        <w:jc w:val="both"/>
        <w:rPr>
          <w:sz w:val="16"/>
        </w:rPr>
      </w:pPr>
      <w:r>
        <w:rPr>
          <w:sz w:val="16"/>
          <w:u w:val="single"/>
        </w:rPr>
        <w:t>3</w:t>
      </w:r>
      <w:r>
        <w:rPr>
          <w:sz w:val="16"/>
          <w:u w:val="single"/>
          <w:vertAlign w:val="superscript"/>
        </w:rPr>
        <w:t>ème</w:t>
      </w:r>
      <w:r>
        <w:rPr>
          <w:sz w:val="16"/>
          <w:u w:val="single"/>
        </w:rPr>
        <w:t xml:space="preserve"> trimestre </w:t>
      </w:r>
      <w:r>
        <w:rPr>
          <w:sz w:val="16"/>
        </w:rPr>
        <w:t>: Bilan de l’année scolaire : retour d’expérience et bonnes pratiques / focus sur des thématiques propres à l’agence comptable comme par exemple les voyages scolaires, la gestion des reliquats, des inventaires patrimoniaux, etc…/ p</w:t>
      </w:r>
      <w:r>
        <w:rPr>
          <w:sz w:val="16"/>
        </w:rPr>
        <w:t xml:space="preserve">oint sur les pratiques à mettre en œuvre pour la rentrée scolaire (exemple : marchés) / organisations particulières / réflexion sur l’amélioration de la qualité du service. </w:t>
      </w:r>
    </w:p>
    <w:p w:rsidR="0073301C" w:rsidRDefault="0073301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52114"/>
    <w:multiLevelType w:val="multilevel"/>
    <w:tmpl w:val="45760E34"/>
    <w:lvl w:ilvl="0">
      <w:start w:val="1"/>
      <w:numFmt w:val="bullet"/>
      <w:lvlText w:val=""/>
      <w:lvlJc w:val="right"/>
      <w:pPr>
        <w:tabs>
          <w:tab w:val="num" w:pos="0"/>
        </w:tabs>
        <w:ind w:left="1211"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2B807755"/>
    <w:multiLevelType w:val="multilevel"/>
    <w:tmpl w:val="AB94F13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836965"/>
    <w:multiLevelType w:val="multilevel"/>
    <w:tmpl w:val="5030D86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7AB126D"/>
    <w:multiLevelType w:val="multilevel"/>
    <w:tmpl w:val="1D688D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1C"/>
    <w:rsid w:val="0064038E"/>
    <w:rsid w:val="0073301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E45D"/>
  <w15:docId w15:val="{E3C5DD22-1641-4653-AD42-02BDB59E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link w:val="Titre1Car"/>
    <w:uiPriority w:val="9"/>
    <w:qFormat/>
    <w:rsid w:val="00E32B0E"/>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8120E6"/>
    <w:rPr>
      <w:sz w:val="16"/>
      <w:szCs w:val="16"/>
    </w:rPr>
  </w:style>
  <w:style w:type="character" w:customStyle="1" w:styleId="CommentaireCar">
    <w:name w:val="Commentaire Car"/>
    <w:basedOn w:val="Policepardfaut"/>
    <w:link w:val="Commentaire"/>
    <w:uiPriority w:val="99"/>
    <w:semiHidden/>
    <w:qFormat/>
    <w:rsid w:val="008120E6"/>
    <w:rPr>
      <w:sz w:val="20"/>
      <w:szCs w:val="20"/>
    </w:rPr>
  </w:style>
  <w:style w:type="character" w:customStyle="1" w:styleId="ObjetducommentaireCar">
    <w:name w:val="Objet du commentaire Car"/>
    <w:basedOn w:val="CommentaireCar"/>
    <w:link w:val="Objetducommentaire"/>
    <w:uiPriority w:val="99"/>
    <w:semiHidden/>
    <w:qFormat/>
    <w:rsid w:val="008120E6"/>
    <w:rPr>
      <w:b/>
      <w:bCs/>
      <w:sz w:val="20"/>
      <w:szCs w:val="20"/>
    </w:rPr>
  </w:style>
  <w:style w:type="character" w:styleId="Lienhypertexte">
    <w:name w:val="Hyperlink"/>
    <w:basedOn w:val="Policepardfaut"/>
    <w:uiPriority w:val="99"/>
    <w:semiHidden/>
    <w:unhideWhenUsed/>
    <w:rsid w:val="00E32B0E"/>
    <w:rPr>
      <w:color w:val="0000FF"/>
      <w:u w:val="single"/>
    </w:rPr>
  </w:style>
  <w:style w:type="character" w:customStyle="1" w:styleId="Titre1Car">
    <w:name w:val="Titre 1 Car"/>
    <w:basedOn w:val="Policepardfaut"/>
    <w:link w:val="Titre1"/>
    <w:uiPriority w:val="9"/>
    <w:qFormat/>
    <w:rsid w:val="00E32B0E"/>
    <w:rPr>
      <w:rFonts w:ascii="Times New Roman" w:eastAsia="Times New Roman" w:hAnsi="Times New Roman" w:cs="Times New Roman"/>
      <w:b/>
      <w:bCs/>
      <w:kern w:val="2"/>
      <w:sz w:val="48"/>
      <w:szCs w:val="48"/>
      <w:lang w:eastAsia="fr-FR"/>
    </w:rPr>
  </w:style>
  <w:style w:type="character" w:customStyle="1" w:styleId="TextedebullesCar">
    <w:name w:val="Texte de bulles Car"/>
    <w:basedOn w:val="Policepardfaut"/>
    <w:link w:val="Textedebulles"/>
    <w:uiPriority w:val="99"/>
    <w:semiHidden/>
    <w:qFormat/>
    <w:rsid w:val="0086572C"/>
    <w:rPr>
      <w:rFonts w:ascii="Segoe UI" w:hAnsi="Segoe UI" w:cs="Segoe UI"/>
      <w:sz w:val="18"/>
      <w:szCs w:val="18"/>
    </w:rPr>
  </w:style>
  <w:style w:type="character" w:customStyle="1" w:styleId="En-tteCar">
    <w:name w:val="En-tête Car"/>
    <w:basedOn w:val="Policepardfaut"/>
    <w:link w:val="En-tte"/>
    <w:uiPriority w:val="99"/>
    <w:qFormat/>
    <w:rsid w:val="00C0296F"/>
  </w:style>
  <w:style w:type="character" w:customStyle="1" w:styleId="PieddepageCar">
    <w:name w:val="Pied de page Car"/>
    <w:basedOn w:val="Policepardfaut"/>
    <w:link w:val="Pieddepage"/>
    <w:uiPriority w:val="99"/>
    <w:qFormat/>
    <w:rsid w:val="00C0296F"/>
  </w:style>
  <w:style w:type="character" w:customStyle="1" w:styleId="NotedebasdepageCar">
    <w:name w:val="Note de bas de page Car"/>
    <w:basedOn w:val="Policepardfaut"/>
    <w:link w:val="Notedebasdepage"/>
    <w:uiPriority w:val="99"/>
    <w:semiHidden/>
    <w:qFormat/>
    <w:rsid w:val="00CC3CE8"/>
    <w:rPr>
      <w:sz w:val="20"/>
      <w:szCs w:val="20"/>
    </w:rPr>
  </w:style>
  <w:style w:type="character" w:customStyle="1" w:styleId="Caractresdenotedebasdepage">
    <w:name w:val="Caractères de note de bas de page"/>
    <w:basedOn w:val="Policepardfaut"/>
    <w:uiPriority w:val="99"/>
    <w:semiHidden/>
    <w:unhideWhenUsed/>
    <w:qFormat/>
    <w:rsid w:val="00CC3CE8"/>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C9569F"/>
    <w:pPr>
      <w:ind w:left="720"/>
      <w:contextualSpacing/>
    </w:pPr>
  </w:style>
  <w:style w:type="paragraph" w:styleId="Commentaire">
    <w:name w:val="annotation text"/>
    <w:basedOn w:val="Normal"/>
    <w:link w:val="CommentaireCar"/>
    <w:uiPriority w:val="99"/>
    <w:semiHidden/>
    <w:unhideWhenUsed/>
    <w:rsid w:val="008120E6"/>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8120E6"/>
    <w:rPr>
      <w:b/>
      <w:bCs/>
    </w:rPr>
  </w:style>
  <w:style w:type="paragraph" w:styleId="Textedebulles">
    <w:name w:val="Balloon Text"/>
    <w:basedOn w:val="Normal"/>
    <w:link w:val="TextedebullesCar"/>
    <w:uiPriority w:val="99"/>
    <w:semiHidden/>
    <w:unhideWhenUsed/>
    <w:qFormat/>
    <w:rsid w:val="0086572C"/>
    <w:pPr>
      <w:spacing w:after="0" w:line="240" w:lineRule="auto"/>
    </w:pPr>
    <w:rPr>
      <w:rFonts w:ascii="Segoe UI" w:hAnsi="Segoe UI" w:cs="Segoe UI"/>
      <w:sz w:val="18"/>
      <w:szCs w:val="18"/>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C0296F"/>
    <w:pPr>
      <w:tabs>
        <w:tab w:val="center" w:pos="4536"/>
        <w:tab w:val="right" w:pos="9072"/>
      </w:tabs>
      <w:spacing w:after="0" w:line="240" w:lineRule="auto"/>
    </w:pPr>
  </w:style>
  <w:style w:type="paragraph" w:styleId="Pieddepage">
    <w:name w:val="footer"/>
    <w:basedOn w:val="Normal"/>
    <w:link w:val="PieddepageCar"/>
    <w:uiPriority w:val="99"/>
    <w:unhideWhenUsed/>
    <w:rsid w:val="00C0296F"/>
    <w:pPr>
      <w:tabs>
        <w:tab w:val="center" w:pos="4536"/>
        <w:tab w:val="right" w:pos="9072"/>
      </w:tabs>
      <w:spacing w:after="0" w:line="240" w:lineRule="auto"/>
    </w:pPr>
  </w:style>
  <w:style w:type="paragraph" w:styleId="Notedebasdepage">
    <w:name w:val="footnote text"/>
    <w:basedOn w:val="Normal"/>
    <w:link w:val="NotedebasdepageCar"/>
    <w:uiPriority w:val="99"/>
    <w:semiHidden/>
    <w:unhideWhenUsed/>
    <w:rsid w:val="00CC3CE8"/>
    <w:pPr>
      <w:spacing w:after="0" w:line="240" w:lineRule="auto"/>
    </w:pPr>
    <w:rPr>
      <w:sz w:val="20"/>
      <w:szCs w:val="20"/>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25E4-9F27-40CF-B65E-9AA187F2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1457</Words>
  <Characters>8014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NOLWENN PRIME</dc:creator>
  <dc:description/>
  <cp:lastModifiedBy>s_bonnes</cp:lastModifiedBy>
  <cp:revision>2</cp:revision>
  <cp:lastPrinted>2026-01-14T14:40:00Z</cp:lastPrinted>
  <dcterms:created xsi:type="dcterms:W3CDTF">2026-01-14T14:18:00Z</dcterms:created>
  <dcterms:modified xsi:type="dcterms:W3CDTF">2026-01-14T14:18:00Z</dcterms:modified>
  <dc:language>fr-FR</dc:language>
</cp:coreProperties>
</file>