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E2A" w:rsidRPr="00047E2A" w:rsidRDefault="00047E2A" w:rsidP="00047E2A">
      <w:pPr>
        <w:pStyle w:val="Sansinterligne"/>
        <w:jc w:val="both"/>
        <w:rPr>
          <w:b/>
          <w:sz w:val="20"/>
          <w:szCs w:val="20"/>
        </w:rPr>
      </w:pPr>
      <w:r>
        <w:rPr>
          <w:b/>
          <w:sz w:val="20"/>
          <w:szCs w:val="20"/>
        </w:rPr>
        <w:t>Extraits du r</w:t>
      </w:r>
      <w:r w:rsidRPr="00047E2A">
        <w:rPr>
          <w:b/>
          <w:sz w:val="20"/>
          <w:szCs w:val="20"/>
        </w:rPr>
        <w:t>apport au Président de la République relatif à l'ordonnance n° 2022-408 du 23 mars 2022 relative au régime de responsabilité financière des gestionnaires publics</w:t>
      </w:r>
      <w:r>
        <w:rPr>
          <w:b/>
          <w:sz w:val="20"/>
          <w:szCs w:val="20"/>
        </w:rPr>
        <w:t>.</w:t>
      </w:r>
    </w:p>
    <w:p w:rsidR="00047E2A" w:rsidRDefault="00047E2A" w:rsidP="00047E2A">
      <w:pPr>
        <w:pStyle w:val="Sansinterligne"/>
        <w:jc w:val="both"/>
        <w:rPr>
          <w:sz w:val="20"/>
          <w:szCs w:val="20"/>
        </w:rPr>
      </w:pPr>
    </w:p>
    <w:p w:rsidR="00506CD2" w:rsidRPr="00047E2A" w:rsidRDefault="00506CD2" w:rsidP="00047E2A">
      <w:pPr>
        <w:pStyle w:val="Sansinterligne"/>
        <w:jc w:val="both"/>
        <w:rPr>
          <w:sz w:val="20"/>
          <w:szCs w:val="20"/>
        </w:rPr>
      </w:pPr>
      <w:r w:rsidRPr="00047E2A">
        <w:rPr>
          <w:sz w:val="20"/>
          <w:szCs w:val="20"/>
        </w:rPr>
        <w:t>L'ordonnance qui vous est présentée instaure un régime de responsabilité des gestionnaires commun aux ordonnateurs et aux comptables dans lequel seront poursuivies les infractions aux règles relatives à l'exécution des recettes et des dépenses ou à la gestion des biens de l'Etat, des collectivités, établissements et organismes soumis au contrôle des juridictions financières, constitutives d'une faute grave ayant causé un préjudice financier significatif.</w:t>
      </w:r>
    </w:p>
    <w:p w:rsidR="006069FA" w:rsidRPr="00047E2A" w:rsidRDefault="00506CD2" w:rsidP="00047E2A">
      <w:pPr>
        <w:pStyle w:val="Sansinterligne"/>
        <w:jc w:val="both"/>
        <w:rPr>
          <w:sz w:val="20"/>
          <w:szCs w:val="20"/>
        </w:rPr>
      </w:pPr>
      <w:r w:rsidRPr="00047E2A">
        <w:rPr>
          <w:sz w:val="20"/>
          <w:szCs w:val="20"/>
        </w:rPr>
        <w:t>Les fautes de gestion, correspondant à des agissements manifestement incompatibles avec les intérêts de l'organisme, à des carences graves dans les contrôles ou à des omissions ou négligences répétées dans le rôle de direction, dès lors que ceux-ci ont occasionné un préjudice financier significatif, seront également sanctionnées pour les organismes soumis au contrôle de la Cour des comptes et des chambres régionales des comptes exerçant une activité industrielle et commerciale. L'Etat ainsi que les collectivités locales et leurs budgets annexes ne seront pas dans le champ de l'infraction.</w:t>
      </w:r>
    </w:p>
    <w:p w:rsidR="00506CD2" w:rsidRPr="00047E2A" w:rsidRDefault="00506CD2" w:rsidP="00047E2A">
      <w:pPr>
        <w:pStyle w:val="Sansinterligne"/>
        <w:jc w:val="both"/>
        <w:rPr>
          <w:sz w:val="20"/>
          <w:szCs w:val="20"/>
        </w:rPr>
      </w:pPr>
      <w:r w:rsidRPr="00047E2A">
        <w:rPr>
          <w:sz w:val="20"/>
          <w:szCs w:val="20"/>
        </w:rPr>
        <w:t>D'autres infractions issues du régime CDBF sont conservées et, le cas échéant, adaptées : l'octroi d'un avantage injustifié ; le non-respect des règles applicables en matière de contrôle budgétaire pour l'engagement de dépenses ; l'engagement de dépenses sans avoir la qualité d'ordonnateur ; l'inexécution des décisions de justice.</w:t>
      </w:r>
    </w:p>
    <w:p w:rsidR="00506CD2" w:rsidRDefault="00506CD2" w:rsidP="00047E2A">
      <w:pPr>
        <w:pStyle w:val="Sansinterligne"/>
        <w:jc w:val="both"/>
        <w:rPr>
          <w:sz w:val="20"/>
          <w:szCs w:val="20"/>
        </w:rPr>
      </w:pPr>
      <w:r w:rsidRPr="00047E2A">
        <w:rPr>
          <w:sz w:val="20"/>
          <w:szCs w:val="20"/>
        </w:rPr>
        <w:t>La gestion de fait constituera une infraction en tant que telle, tout comme l'absence de production des comptes.</w:t>
      </w:r>
    </w:p>
    <w:p w:rsidR="00047E2A" w:rsidRPr="00047E2A" w:rsidRDefault="00047E2A" w:rsidP="00047E2A">
      <w:pPr>
        <w:pStyle w:val="Sansinterligne"/>
        <w:jc w:val="both"/>
        <w:rPr>
          <w:sz w:val="20"/>
          <w:szCs w:val="20"/>
        </w:rPr>
      </w:pPr>
      <w:r w:rsidRPr="00047E2A">
        <w:rPr>
          <w:sz w:val="20"/>
          <w:szCs w:val="20"/>
        </w:rPr>
        <w:t>Une infraction nouvelle visant à sanctionner les agissements ayant eu pour effet de faire échec à une procédure de mandatement d'office est créée.</w:t>
      </w:r>
    </w:p>
    <w:p w:rsidR="00506CD2" w:rsidRDefault="00506CD2" w:rsidP="00047E2A">
      <w:pPr>
        <w:pStyle w:val="Sansinterligne"/>
        <w:jc w:val="both"/>
        <w:rPr>
          <w:sz w:val="20"/>
          <w:szCs w:val="20"/>
        </w:rPr>
      </w:pPr>
      <w:r w:rsidRPr="00047E2A">
        <w:rPr>
          <w:sz w:val="20"/>
          <w:szCs w:val="20"/>
        </w:rPr>
        <w:t>Un dispositif gradué de sanctions est associé à ces infractions. Ainsi, le juge pourra prononcer des amendes plafonnées à six mois de rémunération, ou un mois pour les infractions formelles. Les amendes, individualisées, seront proportionnées à la gravité des faits reprochés, à l'éventuelle réitération des pratiques prohibées et, le cas échéant, à l'importance du préjudice causé.</w:t>
      </w:r>
    </w:p>
    <w:p w:rsidR="00047E2A" w:rsidRPr="00047E2A" w:rsidRDefault="00047E2A" w:rsidP="00047E2A">
      <w:pPr>
        <w:pStyle w:val="Sansinterligne"/>
        <w:jc w:val="both"/>
        <w:rPr>
          <w:sz w:val="20"/>
          <w:szCs w:val="20"/>
        </w:rPr>
      </w:pPr>
      <w:r>
        <w:rPr>
          <w:sz w:val="20"/>
          <w:szCs w:val="20"/>
        </w:rPr>
        <w:t>(…)</w:t>
      </w:r>
    </w:p>
    <w:p w:rsidR="00506CD2" w:rsidRDefault="00506CD2" w:rsidP="00047E2A">
      <w:pPr>
        <w:pStyle w:val="Sansinterligne"/>
        <w:jc w:val="both"/>
        <w:rPr>
          <w:sz w:val="20"/>
          <w:szCs w:val="20"/>
        </w:rPr>
      </w:pPr>
      <w:r w:rsidRPr="00047E2A">
        <w:rPr>
          <w:sz w:val="20"/>
          <w:szCs w:val="20"/>
        </w:rPr>
        <w:t>Le justiciable ne sera pas passible de sanctions s'il n'a fait que se conformer aux instructions de son supérieur hiérarchique ou de toute personne habilitée ou s'il peut exciper d'un ordre écrit émanant d'une autorité non justiciable.</w:t>
      </w:r>
    </w:p>
    <w:p w:rsidR="00047E2A" w:rsidRPr="00047E2A" w:rsidRDefault="00047E2A" w:rsidP="00047E2A">
      <w:pPr>
        <w:pStyle w:val="Sansinterligne"/>
        <w:jc w:val="both"/>
        <w:rPr>
          <w:sz w:val="20"/>
          <w:szCs w:val="20"/>
        </w:rPr>
      </w:pPr>
      <w:r>
        <w:rPr>
          <w:sz w:val="20"/>
          <w:szCs w:val="20"/>
        </w:rPr>
        <w:t>(…)</w:t>
      </w:r>
    </w:p>
    <w:p w:rsidR="00506CD2" w:rsidRDefault="00506CD2" w:rsidP="00047E2A">
      <w:pPr>
        <w:pStyle w:val="Sansinterligne"/>
        <w:jc w:val="both"/>
        <w:rPr>
          <w:sz w:val="20"/>
          <w:szCs w:val="20"/>
        </w:rPr>
      </w:pPr>
      <w:r w:rsidRPr="00047E2A">
        <w:rPr>
          <w:sz w:val="20"/>
          <w:szCs w:val="20"/>
        </w:rPr>
        <w:t>La chambre du contentieux de la Cour des comptes, comprenant des membres de la Cour et des magistrats des chambres régionales et territoriales des comptes, instruira et jugera les affaires. Afin de renforcer les droits des justiciables, une Cour d'appel financière, présidée par le Premier président de la Cour des comptes sera instituée.</w:t>
      </w:r>
    </w:p>
    <w:p w:rsidR="00047E2A" w:rsidRPr="00047E2A" w:rsidRDefault="00047E2A" w:rsidP="00047E2A">
      <w:pPr>
        <w:pStyle w:val="Sansinterligne"/>
        <w:jc w:val="both"/>
        <w:rPr>
          <w:sz w:val="20"/>
          <w:szCs w:val="20"/>
        </w:rPr>
      </w:pPr>
      <w:r>
        <w:rPr>
          <w:sz w:val="20"/>
          <w:szCs w:val="20"/>
        </w:rPr>
        <w:t>(…)</w:t>
      </w:r>
    </w:p>
    <w:p w:rsidR="00506CD2" w:rsidRPr="00047E2A" w:rsidRDefault="00506CD2" w:rsidP="00047E2A">
      <w:pPr>
        <w:pStyle w:val="Sansinterligne"/>
        <w:jc w:val="both"/>
        <w:rPr>
          <w:sz w:val="20"/>
          <w:szCs w:val="20"/>
        </w:rPr>
      </w:pPr>
      <w:r w:rsidRPr="00047E2A">
        <w:rPr>
          <w:sz w:val="20"/>
          <w:szCs w:val="20"/>
        </w:rPr>
        <w:t>Tout en prévoyant l'abrogation des différents régimes de RPP des comptables, l'ordonnance garantit la séparation de l'ordonnateur et du comptable, notamment en conservant l'infraction de gestion de fait et celle d'engagement de dépenses sans avoir la qualité d'ordonnateur. La procédure de réquisition d'un comptable par l'ordonnateur, qui permet à la fois au comptable de jouer pleinement son rôle de gardien des règles, et de proposer un mécanisme de résolution des blocages, voit sa portée réaffirmée en étant inscrite dans la loi. Elle est complétée par le rappel du principe selon lequel un comptable ne peut être tenu pour responsable des opérations réalisées sur réquisition régulière d'un ordonnateur.</w:t>
      </w:r>
    </w:p>
    <w:p w:rsidR="00506CD2" w:rsidRDefault="00506CD2" w:rsidP="00047E2A">
      <w:pPr>
        <w:pStyle w:val="Sansinterligne"/>
        <w:jc w:val="both"/>
        <w:rPr>
          <w:sz w:val="20"/>
          <w:szCs w:val="20"/>
        </w:rPr>
      </w:pPr>
      <w:r w:rsidRPr="00047E2A">
        <w:rPr>
          <w:sz w:val="20"/>
          <w:szCs w:val="20"/>
        </w:rPr>
        <w:t>L'ordonnance introduit également une possibilité pour le comptable de signaler à l'ordonnateur toute opération susceptible de relever d'une infraction, sanctionnée par le juge financier, aux règles d'exécution des recettes et des dépenses.</w:t>
      </w:r>
    </w:p>
    <w:p w:rsidR="00047E2A" w:rsidRPr="00047E2A" w:rsidRDefault="00047E2A" w:rsidP="00047E2A">
      <w:pPr>
        <w:pStyle w:val="Sansinterligne"/>
        <w:jc w:val="both"/>
        <w:rPr>
          <w:sz w:val="20"/>
          <w:szCs w:val="20"/>
        </w:rPr>
      </w:pPr>
      <w:r>
        <w:rPr>
          <w:sz w:val="20"/>
          <w:szCs w:val="20"/>
        </w:rPr>
        <w:t>(…)</w:t>
      </w:r>
    </w:p>
    <w:p w:rsidR="00506CD2" w:rsidRPr="00047E2A" w:rsidRDefault="00506CD2" w:rsidP="00047E2A">
      <w:pPr>
        <w:pStyle w:val="Sansinterligne"/>
        <w:jc w:val="both"/>
        <w:rPr>
          <w:sz w:val="20"/>
          <w:szCs w:val="20"/>
        </w:rPr>
      </w:pPr>
      <w:r w:rsidRPr="00047E2A">
        <w:rPr>
          <w:sz w:val="20"/>
          <w:szCs w:val="20"/>
        </w:rPr>
        <w:t>Les comptables dont la responsabilité n'aura pas été engagée dans le cadre d'une procédure administrative ou juridictionnelle en cours au 1er janvier 2023 seront déclarés quittes de leur gestion.</w:t>
      </w:r>
    </w:p>
    <w:p w:rsidR="00506CD2" w:rsidRDefault="00506CD2" w:rsidP="00047E2A">
      <w:pPr>
        <w:pStyle w:val="Sansinterligne"/>
        <w:jc w:val="both"/>
        <w:rPr>
          <w:sz w:val="20"/>
          <w:szCs w:val="20"/>
        </w:rPr>
      </w:pPr>
      <w:r w:rsidRPr="00047E2A">
        <w:rPr>
          <w:sz w:val="20"/>
          <w:szCs w:val="20"/>
        </w:rPr>
        <w:t>L'obligation de production des comptes devant les juridictions financières étant supprimée à compter du 1er janvier 2023, les comptes portant sur l'exercice 2022, déposés en 2023, n'y seront pas soumis.</w:t>
      </w:r>
    </w:p>
    <w:p w:rsidR="00047E2A" w:rsidRPr="00047E2A" w:rsidRDefault="00047E2A" w:rsidP="00047E2A">
      <w:pPr>
        <w:pStyle w:val="Sansinterligne"/>
        <w:jc w:val="both"/>
        <w:rPr>
          <w:sz w:val="20"/>
          <w:szCs w:val="20"/>
        </w:rPr>
      </w:pPr>
    </w:p>
    <w:p w:rsidR="00506CD2" w:rsidRPr="00047E2A" w:rsidRDefault="00506CD2" w:rsidP="00047E2A">
      <w:pPr>
        <w:pStyle w:val="Sansinterligne"/>
        <w:jc w:val="both"/>
        <w:rPr>
          <w:sz w:val="20"/>
          <w:szCs w:val="20"/>
        </w:rPr>
      </w:pPr>
      <w:r w:rsidRPr="00047E2A">
        <w:rPr>
          <w:sz w:val="20"/>
          <w:szCs w:val="20"/>
        </w:rPr>
        <w:t>L'article 29 prévoit l'entrée en vigueur de l'ordonnance le 1er janvier 2023.</w:t>
      </w:r>
    </w:p>
    <w:p w:rsidR="00506CD2" w:rsidRPr="00047E2A" w:rsidRDefault="00506CD2" w:rsidP="00047E2A">
      <w:pPr>
        <w:pStyle w:val="Sansinterligne"/>
        <w:jc w:val="both"/>
        <w:rPr>
          <w:sz w:val="20"/>
          <w:szCs w:val="20"/>
        </w:rPr>
      </w:pPr>
      <w:bookmarkStart w:id="0" w:name="_GoBack"/>
      <w:bookmarkEnd w:id="0"/>
    </w:p>
    <w:sectPr w:rsidR="00506CD2" w:rsidRPr="00047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D2"/>
    <w:rsid w:val="00047E2A"/>
    <w:rsid w:val="00506CD2"/>
    <w:rsid w:val="006069FA"/>
    <w:rsid w:val="00857AA8"/>
    <w:rsid w:val="008E5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5D6"/>
  <w15:chartTrackingRefBased/>
  <w15:docId w15:val="{40598F04-8BCB-4EF6-A480-0848221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47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cp:revision>
  <dcterms:created xsi:type="dcterms:W3CDTF">2022-03-27T18:15:00Z</dcterms:created>
  <dcterms:modified xsi:type="dcterms:W3CDTF">2022-04-02T13:48:00Z</dcterms:modified>
</cp:coreProperties>
</file>