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CB" w:rsidRDefault="001C62CB" w:rsidP="001C62CB">
      <w:pPr>
        <w:pStyle w:val="Sansinterligne"/>
        <w:jc w:val="center"/>
        <w:rPr>
          <w:b/>
          <w:sz w:val="28"/>
          <w:szCs w:val="28"/>
        </w:rPr>
      </w:pPr>
      <w:r w:rsidRPr="001C62CB">
        <w:rPr>
          <w:b/>
          <w:sz w:val="28"/>
          <w:szCs w:val="28"/>
        </w:rPr>
        <w:t xml:space="preserve">La gestion des </w:t>
      </w:r>
      <w:r>
        <w:rPr>
          <w:b/>
          <w:sz w:val="28"/>
          <w:szCs w:val="28"/>
        </w:rPr>
        <w:t>crédits d’Etat versés</w:t>
      </w:r>
      <w:r w:rsidRPr="001C62CB">
        <w:rPr>
          <w:b/>
          <w:sz w:val="28"/>
          <w:szCs w:val="28"/>
        </w:rPr>
        <w:t xml:space="preserve"> sous conditions d’emploi.</w:t>
      </w:r>
    </w:p>
    <w:p w:rsidR="00694634" w:rsidRPr="001C62CB" w:rsidRDefault="00694634" w:rsidP="001C62CB">
      <w:pPr>
        <w:pStyle w:val="Sansinterligne"/>
        <w:jc w:val="center"/>
        <w:rPr>
          <w:b/>
          <w:sz w:val="28"/>
          <w:szCs w:val="28"/>
        </w:rPr>
      </w:pPr>
    </w:p>
    <w:p w:rsidR="001C62CB" w:rsidRDefault="001C62CB" w:rsidP="009F1E0E">
      <w:pPr>
        <w:pStyle w:val="Sansinterligne"/>
        <w:jc w:val="both"/>
        <w:rPr>
          <w:sz w:val="20"/>
          <w:szCs w:val="20"/>
        </w:rPr>
      </w:pPr>
    </w:p>
    <w:p w:rsidR="009F1E0E" w:rsidRPr="004D2585" w:rsidRDefault="009F1E0E" w:rsidP="009F1E0E">
      <w:pPr>
        <w:pStyle w:val="Sansinterligne"/>
        <w:jc w:val="both"/>
      </w:pPr>
      <w:r w:rsidRPr="004D2585">
        <w:t>Une note DAF A3 / DGESCO B12 du 12 juillet 2024</w:t>
      </w:r>
      <w:r w:rsidR="001F42AF" w:rsidRPr="004D2585">
        <w:t xml:space="preserve"> </w:t>
      </w:r>
      <w:r w:rsidR="001F42AF" w:rsidRPr="004D2585">
        <w:rPr>
          <w:i/>
        </w:rPr>
        <w:t>(1)</w:t>
      </w:r>
      <w:r w:rsidRPr="004D2585">
        <w:t xml:space="preserve"> est venue </w:t>
      </w:r>
      <w:r w:rsidR="00E731E9" w:rsidRPr="004D2585">
        <w:t>préciser</w:t>
      </w:r>
      <w:r w:rsidRPr="004D2585">
        <w:t xml:space="preserve"> les modalités de gestion par les établissements des crédits d’Etat sous condition d’emploi</w:t>
      </w:r>
      <w:r w:rsidR="003D7D7F">
        <w:t xml:space="preserve"> provenant du ministère de l’éducation nationale</w:t>
      </w:r>
      <w:r w:rsidR="00E731E9" w:rsidRPr="004D2585">
        <w:t>. Elle abroge la note du 25 octobre 2018.</w:t>
      </w:r>
    </w:p>
    <w:p w:rsidR="009F1E0E" w:rsidRPr="004D2585" w:rsidRDefault="009F1E0E" w:rsidP="009F1E0E">
      <w:pPr>
        <w:pStyle w:val="Sansinterligne"/>
        <w:jc w:val="both"/>
      </w:pPr>
    </w:p>
    <w:p w:rsidR="003D7D7F" w:rsidRDefault="001C62CB" w:rsidP="009F1E0E">
      <w:pPr>
        <w:pStyle w:val="Sansinterligne"/>
        <w:jc w:val="both"/>
      </w:pPr>
      <w:r w:rsidRPr="004D2585">
        <w:t>Les</w:t>
      </w:r>
      <w:r w:rsidR="001140F4" w:rsidRPr="004D2585">
        <w:t xml:space="preserve"> subventions sous condition d’emploi sont des produits dont le financeur impose des conditions d’utilisation spécifiques pour pouvoir faire la recette ; c’est le cas des subventions des programmes141 </w:t>
      </w:r>
      <w:r w:rsidR="00BF20FF" w:rsidRPr="004D2585">
        <w:t xml:space="preserve">« enseignement scolaire public du second degré » </w:t>
      </w:r>
      <w:r w:rsidR="001140F4" w:rsidRPr="004D2585">
        <w:t xml:space="preserve">et 230 </w:t>
      </w:r>
      <w:r w:rsidR="00BF20FF" w:rsidRPr="004D2585">
        <w:t xml:space="preserve">« vie de l’élève » </w:t>
      </w:r>
      <w:r w:rsidR="001140F4" w:rsidRPr="004D2585">
        <w:t>versé</w:t>
      </w:r>
      <w:r w:rsidR="00BF20FF" w:rsidRPr="004D2585">
        <w:t>e</w:t>
      </w:r>
      <w:r w:rsidR="001140F4" w:rsidRPr="004D2585">
        <w:t>s aux EPLE.</w:t>
      </w:r>
      <w:r w:rsidR="009F1E0E" w:rsidRPr="004D2585">
        <w:t xml:space="preserve"> </w:t>
      </w:r>
      <w:r w:rsidR="003D7D7F" w:rsidRPr="003D7D7F">
        <w:t>Ces subventions doivent conformément à l’article R421-66 du code de l’éducation conserver leur affectation. Pour ces subventions versées par l’éducation nationale, l’affectation des crédits correspond à des subventions relevant soit d’un périmètre autorisé dans le cadre d’un programme du budget de l’État soit d’un dispositif particulier.</w:t>
      </w:r>
      <w:r w:rsidR="003D7D7F">
        <w:t xml:space="preserve"> </w:t>
      </w:r>
    </w:p>
    <w:p w:rsidR="006069FA" w:rsidRPr="004D2585" w:rsidRDefault="00B636C7" w:rsidP="009F1E0E">
      <w:pPr>
        <w:pStyle w:val="Sansinterligne"/>
        <w:jc w:val="both"/>
      </w:pPr>
      <w:r w:rsidRPr="004D2585">
        <w:t xml:space="preserve">Ces subventions font l’objet d’un titre de recette au fur et à mesure de la réalisation </w:t>
      </w:r>
      <w:r w:rsidR="00DA2593" w:rsidRPr="004D2585">
        <w:t>des conditions d’octroi</w:t>
      </w:r>
      <w:r w:rsidR="001C62CB" w:rsidRPr="004D2585">
        <w:t>,</w:t>
      </w:r>
      <w:r w:rsidR="00DA2593" w:rsidRPr="004D2585">
        <w:t xml:space="preserve"> et pour le montant des dépenses effectuées. A</w:t>
      </w:r>
      <w:r w:rsidRPr="004D2585">
        <w:t>lors que les subventions sans condition d’emploi font l’objet d’un titre de recette dès réception de la notification</w:t>
      </w:r>
      <w:r w:rsidR="00DA2593" w:rsidRPr="004D2585">
        <w:t xml:space="preserve"> pour leur montant global</w:t>
      </w:r>
      <w:r w:rsidRPr="004D2585">
        <w:t>.</w:t>
      </w:r>
    </w:p>
    <w:p w:rsidR="00BF20FF" w:rsidRPr="004D2585" w:rsidRDefault="00BF20FF" w:rsidP="009F1E0E">
      <w:pPr>
        <w:pStyle w:val="Sansinterligne"/>
        <w:jc w:val="both"/>
      </w:pPr>
    </w:p>
    <w:p w:rsidR="001C62CB" w:rsidRPr="004D2585" w:rsidRDefault="001C62CB" w:rsidP="009F1E0E">
      <w:pPr>
        <w:pStyle w:val="Sansinterligne"/>
        <w:jc w:val="both"/>
      </w:pPr>
      <w:r w:rsidRPr="004D2585">
        <w:t>La note du 12 juillet 2024 rappelle les règles de gestion des crédits sous condition d’emploi : délégation de crédits aux EPLE, conditions d’utilisation, inscription au budget, écritures comptables, et déspécialisation. En annexe de la note un tableau</w:t>
      </w:r>
      <w:r w:rsidR="003D7D7F">
        <w:t xml:space="preserve"> actualise la</w:t>
      </w:r>
      <w:r w:rsidRPr="004D2585">
        <w:t xml:space="preserve"> liste les crédits concernés au titre des programmes 141 et 230.</w:t>
      </w:r>
    </w:p>
    <w:p w:rsidR="0024572F" w:rsidRPr="004D2585" w:rsidRDefault="0024572F" w:rsidP="009F1E0E">
      <w:pPr>
        <w:pStyle w:val="Sansinterligne"/>
        <w:jc w:val="both"/>
      </w:pPr>
      <w:r w:rsidRPr="004D2585">
        <w:t>Deux points sont</w:t>
      </w:r>
      <w:r w:rsidR="000A7EBA" w:rsidRPr="004D2585">
        <w:t xml:space="preserve"> à retenir plus particulièrement</w:t>
      </w:r>
      <w:r w:rsidRPr="004D2585">
        <w:t xml:space="preserve"> dans cette note.</w:t>
      </w:r>
    </w:p>
    <w:p w:rsidR="009F1E0E" w:rsidRPr="004D2585" w:rsidRDefault="009F1E0E" w:rsidP="009F1E0E">
      <w:pPr>
        <w:pStyle w:val="Sansinterligne"/>
        <w:jc w:val="both"/>
      </w:pPr>
    </w:p>
    <w:p w:rsidR="0024572F" w:rsidRPr="004D2585" w:rsidRDefault="0024572F" w:rsidP="009F1E0E">
      <w:pPr>
        <w:pStyle w:val="Sansinterligne"/>
        <w:numPr>
          <w:ilvl w:val="0"/>
          <w:numId w:val="2"/>
        </w:numPr>
        <w:jc w:val="both"/>
        <w:rPr>
          <w:b/>
        </w:rPr>
      </w:pPr>
      <w:r w:rsidRPr="004D2585">
        <w:rPr>
          <w:b/>
        </w:rPr>
        <w:t>Les modalités d’inscription au budget des subventions sous conditions d’emploi.</w:t>
      </w:r>
    </w:p>
    <w:p w:rsidR="0086127A" w:rsidRPr="004D2585" w:rsidRDefault="0086127A" w:rsidP="0086127A">
      <w:pPr>
        <w:pStyle w:val="Sansinterligne"/>
        <w:ind w:left="720"/>
        <w:jc w:val="both"/>
        <w:rPr>
          <w:b/>
        </w:rPr>
      </w:pPr>
    </w:p>
    <w:p w:rsidR="00A748CB" w:rsidRDefault="001140F4" w:rsidP="009F1E0E">
      <w:pPr>
        <w:pStyle w:val="Sansinterligne"/>
        <w:jc w:val="both"/>
      </w:pPr>
      <w:r w:rsidRPr="004D2585">
        <w:t xml:space="preserve">La note indique que les crédits sous condition d’emploi </w:t>
      </w:r>
      <w:r w:rsidR="00EA6A38" w:rsidRPr="004D2585">
        <w:t xml:space="preserve">versés par l’Etat </w:t>
      </w:r>
      <w:r w:rsidRPr="004D2585">
        <w:t xml:space="preserve">sont enregistrés par </w:t>
      </w:r>
      <w:proofErr w:type="gramStart"/>
      <w:r w:rsidRPr="004D2585">
        <w:t>l’EPLE</w:t>
      </w:r>
      <w:proofErr w:type="gramEnd"/>
      <w:r w:rsidRPr="004D2585">
        <w:t xml:space="preserve"> au budget initial, si la notification le permet, ou par DBM pour information du CA, si la notification intervient en cours d’exercice budgétaire. </w:t>
      </w:r>
      <w:r w:rsidR="001B74BB" w:rsidRPr="004D2585">
        <w:t>Le point important est que désormais les crédits sous condition d’emploi qui n’auraient pas été enregistrés au budget initial pourront l’être par voie de DBM pour information du CA ; et non plus par une DBM de niveau 3 comme indiqué dans la précédente note de 2018</w:t>
      </w:r>
      <w:r w:rsidR="00D91890">
        <w:t xml:space="preserve"> (sauf en cas de modification du service budgétaire)</w:t>
      </w:r>
      <w:r w:rsidR="001B74BB" w:rsidRPr="004D2585">
        <w:t>.</w:t>
      </w:r>
      <w:r w:rsidR="00B53899" w:rsidRPr="004D2585">
        <w:t xml:space="preserve"> </w:t>
      </w:r>
      <w:r w:rsidR="00A748CB" w:rsidRPr="004D2585">
        <w:t>De même l’établissement pourra modifier la répartition interne des subventions des programmes 141 et 230</w:t>
      </w:r>
      <w:r w:rsidR="00F072A9" w:rsidRPr="004D2585">
        <w:t xml:space="preserve"> inscrites au budget par une nouvelle DBM pour information du CA.</w:t>
      </w:r>
    </w:p>
    <w:p w:rsidR="0089405A" w:rsidRPr="004D2585" w:rsidRDefault="0089405A" w:rsidP="009F1E0E">
      <w:pPr>
        <w:pStyle w:val="Sansinterligne"/>
        <w:jc w:val="both"/>
      </w:pPr>
    </w:p>
    <w:p w:rsidR="000A7EBA" w:rsidRPr="004D2585" w:rsidRDefault="006F2145" w:rsidP="009F1E0E">
      <w:pPr>
        <w:pStyle w:val="Sansinterligne"/>
        <w:jc w:val="both"/>
      </w:pPr>
      <w:r w:rsidRPr="004D2585">
        <w:t xml:space="preserve">La notion de crédits globalisés ne disparait pas pour autant mais il n'est plus nécessaire que la répartition de ces crédits sur les différentes lignes budgétaires </w:t>
      </w:r>
      <w:r w:rsidR="001C62CB" w:rsidRPr="004D2585">
        <w:t>fasse l’objet d’un acte du CA ou d’</w:t>
      </w:r>
      <w:r w:rsidRPr="004D2585">
        <w:t>une DBM pour vote.  Une DBM pour information</w:t>
      </w:r>
      <w:r w:rsidR="001C62CB" w:rsidRPr="004D2585">
        <w:t xml:space="preserve"> à l’initiative du chef d’établissement</w:t>
      </w:r>
      <w:r w:rsidRPr="004D2585">
        <w:t xml:space="preserve"> permet de réaliser cette répartition (cf. chapitre I-4 de la note de service du 12 juillet 2024). </w:t>
      </w:r>
    </w:p>
    <w:p w:rsidR="009F1E0E" w:rsidRPr="004D2585" w:rsidRDefault="009F1E0E" w:rsidP="009F1E0E">
      <w:pPr>
        <w:pStyle w:val="Sansinterligne"/>
        <w:jc w:val="both"/>
      </w:pPr>
    </w:p>
    <w:p w:rsidR="0024572F" w:rsidRPr="004D2585" w:rsidRDefault="0024572F" w:rsidP="009F1E0E">
      <w:pPr>
        <w:pStyle w:val="Sansinterligne"/>
        <w:numPr>
          <w:ilvl w:val="0"/>
          <w:numId w:val="2"/>
        </w:numPr>
        <w:jc w:val="both"/>
        <w:rPr>
          <w:b/>
        </w:rPr>
      </w:pPr>
      <w:r w:rsidRPr="004D2585">
        <w:rPr>
          <w:b/>
        </w:rPr>
        <w:t>La déspécialisation des subventions sous condition d’emploi.</w:t>
      </w:r>
    </w:p>
    <w:p w:rsidR="0086127A" w:rsidRPr="004D2585" w:rsidRDefault="0086127A" w:rsidP="009F1E0E">
      <w:pPr>
        <w:pStyle w:val="Sansinterligne"/>
        <w:jc w:val="both"/>
      </w:pPr>
    </w:p>
    <w:p w:rsidR="00DA2593" w:rsidRPr="004D2585" w:rsidRDefault="00EA6A38" w:rsidP="0002107C">
      <w:pPr>
        <w:pStyle w:val="Sansinterligne"/>
        <w:jc w:val="both"/>
      </w:pPr>
      <w:r w:rsidRPr="004D2585">
        <w:t xml:space="preserve">Les </w:t>
      </w:r>
      <w:r w:rsidR="0086127A" w:rsidRPr="004D2585">
        <w:t xml:space="preserve">sommes non utilisées dans le cadre des </w:t>
      </w:r>
      <w:r w:rsidRPr="004D2585">
        <w:t xml:space="preserve">crédits d’Etat sous condition d’emploi </w:t>
      </w:r>
      <w:r w:rsidR="0086127A" w:rsidRPr="004D2585">
        <w:t xml:space="preserve">sont restituées au financeur, sur sa demande, sauf si ce dernier lui permet de les déspécialiser. </w:t>
      </w:r>
      <w:r w:rsidR="0002107C" w:rsidRPr="004D2585">
        <w:t>Selon la note de 2018, les reliquats conservés en classe 4 devaient - soit être reversés au financeur - soit faire l'objet d'un ordre de recettes en cas de déspécialisation des crédits autorisée par le bailleur de fonds suite à une demande de l’EPLE ou en cas de prescription quadriennale.</w:t>
      </w:r>
    </w:p>
    <w:p w:rsidR="00EA6A38" w:rsidRPr="004D2585" w:rsidRDefault="0086127A" w:rsidP="009F1E0E">
      <w:pPr>
        <w:pStyle w:val="Sansinterligne"/>
        <w:jc w:val="both"/>
      </w:pPr>
      <w:r w:rsidRPr="004D2585">
        <w:t>La grande nouveauté apportée par cette note de juillet 2024 e</w:t>
      </w:r>
      <w:r w:rsidR="005F00A4">
        <w:t>s</w:t>
      </w:r>
      <w:r w:rsidRPr="004D2585">
        <w:t>t que</w:t>
      </w:r>
      <w:r w:rsidR="00F43C47" w:rsidRPr="004D2585">
        <w:t>, sauf demande de reversement des reliquats,</w:t>
      </w:r>
      <w:r w:rsidRPr="004D2585">
        <w:t xml:space="preserve"> cette </w:t>
      </w:r>
      <w:r w:rsidR="00EA6A38" w:rsidRPr="004D2585">
        <w:t>déspécialis</w:t>
      </w:r>
      <w:r w:rsidRPr="004D2585">
        <w:t>ation est désormais possible</w:t>
      </w:r>
      <w:r w:rsidR="00EA6A38" w:rsidRPr="004D2585">
        <w:t xml:space="preserve"> </w:t>
      </w:r>
      <w:r w:rsidRPr="004D2585">
        <w:t xml:space="preserve">sans </w:t>
      </w:r>
      <w:r w:rsidR="005F00A4">
        <w:t xml:space="preserve">demande et </w:t>
      </w:r>
      <w:r w:rsidRPr="004D2585">
        <w:t>autorisation préalable</w:t>
      </w:r>
      <w:r w:rsidR="005F00A4">
        <w:t>s</w:t>
      </w:r>
      <w:r w:rsidRPr="004D2585">
        <w:t xml:space="preserve"> </w:t>
      </w:r>
      <w:r w:rsidR="00EA6A38" w:rsidRPr="004D2585">
        <w:t>à partir du 1 janvier N+2 de l</w:t>
      </w:r>
      <w:r w:rsidRPr="004D2585">
        <w:t>’année de versement de la subvention.</w:t>
      </w:r>
    </w:p>
    <w:p w:rsidR="0002107C" w:rsidRPr="004D2585" w:rsidRDefault="0002107C" w:rsidP="009F1E0E">
      <w:pPr>
        <w:pStyle w:val="Sansinterligne"/>
        <w:jc w:val="both"/>
      </w:pPr>
      <w:bookmarkStart w:id="0" w:name="_GoBack"/>
      <w:bookmarkEnd w:id="0"/>
    </w:p>
    <w:p w:rsidR="0024572F" w:rsidRPr="004D2585" w:rsidRDefault="0024572F" w:rsidP="009F1E0E">
      <w:pPr>
        <w:pStyle w:val="Sansinterligne"/>
        <w:jc w:val="both"/>
      </w:pPr>
      <w:r w:rsidRPr="004D2585">
        <w:lastRenderedPageBreak/>
        <w:t>La déspécialisation</w:t>
      </w:r>
      <w:r w:rsidR="00A07159">
        <w:t xml:space="preserve"> se fait à l’initiative de l’établissement. Elle</w:t>
      </w:r>
      <w:r w:rsidRPr="004D2585">
        <w:t xml:space="preserve"> permet à l’établissement d’utiliser des subventions </w:t>
      </w:r>
      <w:r w:rsidR="00EA6A38" w:rsidRPr="004D2585">
        <w:t xml:space="preserve">sous condition d’emploi </w:t>
      </w:r>
      <w:r w:rsidRPr="004D2585">
        <w:t xml:space="preserve">pour d’autres actions que celles </w:t>
      </w:r>
      <w:r w:rsidR="00EA6A38" w:rsidRPr="004D2585">
        <w:t>prévues par la notification initiale ; à condition toutefois de maintenir leur affectation à une dépense de programme</w:t>
      </w:r>
      <w:r w:rsidR="0002107C" w:rsidRPr="004D2585">
        <w:t xml:space="preserve"> d’origine</w:t>
      </w:r>
      <w:r w:rsidR="00EA6A38" w:rsidRPr="004D2585">
        <w:t xml:space="preserve"> (</w:t>
      </w:r>
      <w:r w:rsidR="0002107C" w:rsidRPr="004D2585">
        <w:t>P</w:t>
      </w:r>
      <w:r w:rsidR="00EA6A38" w:rsidRPr="004D2585">
        <w:t>14</w:t>
      </w:r>
      <w:r w:rsidR="0002107C" w:rsidRPr="004D2585">
        <w:t>1, P230)</w:t>
      </w:r>
      <w:r w:rsidR="00EA6A38" w:rsidRPr="004D2585">
        <w:t>. Il y a cependant certaines except</w:t>
      </w:r>
      <w:r w:rsidR="0086127A" w:rsidRPr="004D2585">
        <w:t>ions</w:t>
      </w:r>
      <w:r w:rsidR="004D2585" w:rsidRPr="004D2585">
        <w:t>. U</w:t>
      </w:r>
      <w:r w:rsidR="0086127A" w:rsidRPr="004D2585">
        <w:t xml:space="preserve">n tableau annexé </w:t>
      </w:r>
      <w:r w:rsidR="007B3EE3" w:rsidRPr="004D2585">
        <w:t>à la note</w:t>
      </w:r>
      <w:r w:rsidR="004D2585" w:rsidRPr="004D2585">
        <w:t xml:space="preserve"> liste les subventions versées aux établissements par l’Etat</w:t>
      </w:r>
      <w:r w:rsidR="007B3EE3" w:rsidRPr="004D2585">
        <w:t xml:space="preserve"> </w:t>
      </w:r>
      <w:r w:rsidR="004D2585" w:rsidRPr="004D2585">
        <w:t>à suivre sous condition d’emploi, en in</w:t>
      </w:r>
      <w:r w:rsidR="007B3EE3" w:rsidRPr="004D2585">
        <w:t>diquant si la déspécialisation est autorisée ou pas</w:t>
      </w:r>
      <w:r w:rsidR="0086127A" w:rsidRPr="004D2585">
        <w:t>.</w:t>
      </w:r>
    </w:p>
    <w:p w:rsidR="00EA6A38" w:rsidRPr="004D2585" w:rsidRDefault="00EA6A38" w:rsidP="009F1E0E">
      <w:pPr>
        <w:pStyle w:val="Sansinterligne"/>
        <w:jc w:val="both"/>
      </w:pPr>
      <w:r w:rsidRPr="004D2585">
        <w:t>A titre d’exemple, des crédits versés d’Etat sous condition d’emploi attribués par un programme 141 et 230 au 1 novembre 2023 pourront être déspécialisés à partir du 1 janvier 2025 au bénéfice de l’ensemble des dépenses du même programme 141 ou 230, à l’exception des crédits provenant d’un fonds de concours ou gérés par un service mutualisé.</w:t>
      </w:r>
      <w:r w:rsidR="004D2585" w:rsidRPr="004D2585">
        <w:t xml:space="preserve"> Ce n’est donc pas la date précise mais l’exercice au cours duquel la subvention est perçue qui compte.</w:t>
      </w:r>
      <w:r w:rsidR="004D2585">
        <w:t xml:space="preserve"> Par ailleurs, même si la note parle d</w:t>
      </w:r>
      <w:r w:rsidR="00683A48">
        <w:t>’année de</w:t>
      </w:r>
      <w:r w:rsidR="004D2585">
        <w:t xml:space="preserve"> versement, </w:t>
      </w:r>
      <w:r w:rsidR="00E45999">
        <w:t xml:space="preserve">il faut considérer </w:t>
      </w:r>
      <w:r w:rsidR="005E2411">
        <w:t>l’année</w:t>
      </w:r>
      <w:r w:rsidR="00E45999">
        <w:t xml:space="preserve"> de notification des crédits pour le calcul de la possibilité de déspécialisation (cas d’une notification de subvention reçue en décembre mais encaissée en janvier).</w:t>
      </w:r>
    </w:p>
    <w:p w:rsidR="009F1E0E" w:rsidRPr="004D2585" w:rsidRDefault="009F1E0E" w:rsidP="009F1E0E">
      <w:pPr>
        <w:pStyle w:val="Sansinterligne"/>
        <w:jc w:val="both"/>
      </w:pPr>
      <w:r w:rsidRPr="004D2585">
        <w:t xml:space="preserve">Cette déspécialisation se fera par DBM 2 si les crédits sont mouvementés au sein du même service ou par DBM 3 dans les autres cas (passage </w:t>
      </w:r>
      <w:r w:rsidR="005E2411">
        <w:t xml:space="preserve">de crédits ouverts au budget </w:t>
      </w:r>
      <w:r w:rsidRPr="004D2585">
        <w:t>du service AP au service VE par exemple)</w:t>
      </w:r>
      <w:r w:rsidR="00E77515" w:rsidRPr="004D2585">
        <w:t> ;</w:t>
      </w:r>
      <w:r w:rsidRPr="004D2585">
        <w:t xml:space="preserve"> mais toujours au sein du même programme.</w:t>
      </w:r>
    </w:p>
    <w:p w:rsidR="00722211" w:rsidRDefault="00722211" w:rsidP="009F1E0E">
      <w:pPr>
        <w:pStyle w:val="Sansinterligne"/>
        <w:jc w:val="both"/>
      </w:pPr>
      <w:r w:rsidRPr="004D2585">
        <w:t>A noter qu’il n’est pas possible d’affecter des crédits déspécialisés sur des ligne</w:t>
      </w:r>
      <w:r w:rsidR="00683A48">
        <w:t xml:space="preserve">s de crédits non </w:t>
      </w:r>
      <w:proofErr w:type="spellStart"/>
      <w:r w:rsidR="00683A48">
        <w:t>déspé</w:t>
      </w:r>
      <w:r w:rsidRPr="004D2585">
        <w:t>cialisables</w:t>
      </w:r>
      <w:proofErr w:type="spellEnd"/>
      <w:r w:rsidR="00683A48">
        <w:t xml:space="preserve"> (exemple : du code activité 16AE- « devoirs faits » sur le code activité 16EO- « école ouverte »)</w:t>
      </w:r>
      <w:r w:rsidRPr="004D2585">
        <w:t xml:space="preserve">. </w:t>
      </w:r>
    </w:p>
    <w:p w:rsidR="0089405A" w:rsidRDefault="0089405A" w:rsidP="009F1E0E">
      <w:pPr>
        <w:pStyle w:val="Sansinterligne"/>
        <w:jc w:val="both"/>
      </w:pPr>
    </w:p>
    <w:p w:rsidR="00683A48" w:rsidRPr="004D2585" w:rsidRDefault="0089405A" w:rsidP="009F1E0E">
      <w:pPr>
        <w:pStyle w:val="Sansinterligne"/>
        <w:jc w:val="both"/>
      </w:pPr>
      <w:r>
        <w:t xml:space="preserve">La déspécialisation diffère de la prescription quadriennale qui permet aux établissements de récupérer des reliquats de crédits non utilisés et non réclamés, dans le délai de quatre ans à compter du premier janvier de l’année suivant celle au cours de laquelle les droits ont été acquis. La déspécialisation peut intervenir avant la prescription quadriennale par l’application du délai N+2 et si le donateur </w:t>
      </w:r>
      <w:r w:rsidR="006D296A">
        <w:t>n’a pas prévu le reversement des reliquats dans sa notification.</w:t>
      </w:r>
    </w:p>
    <w:p w:rsidR="00E731E9" w:rsidRDefault="00E731E9" w:rsidP="009F1E0E">
      <w:pPr>
        <w:pStyle w:val="Sansinterligne"/>
        <w:jc w:val="both"/>
      </w:pPr>
    </w:p>
    <w:p w:rsidR="00542F46" w:rsidRDefault="00542F46" w:rsidP="009F1E0E">
      <w:pPr>
        <w:pStyle w:val="Sansinterligne"/>
        <w:jc w:val="both"/>
      </w:pPr>
    </w:p>
    <w:p w:rsidR="00542F46" w:rsidRPr="004D2585" w:rsidRDefault="00542F46" w:rsidP="009F1E0E">
      <w:pPr>
        <w:pStyle w:val="Sansinterligne"/>
        <w:jc w:val="both"/>
      </w:pPr>
      <w:r w:rsidRPr="00542F46">
        <w:t>Par ce</w:t>
      </w:r>
      <w:r>
        <w:t>s</w:t>
      </w:r>
      <w:r w:rsidRPr="00542F46">
        <w:t xml:space="preserve"> évolution</w:t>
      </w:r>
      <w:r>
        <w:t>s</w:t>
      </w:r>
      <w:r w:rsidRPr="00542F46">
        <w:t xml:space="preserve"> le ministère entend simplifier la procédure</w:t>
      </w:r>
      <w:r>
        <w:t xml:space="preserve"> de gestion financière des EPLE ; ce qui sera sans aucun doute apprécié par les équipes de direction des EPLE.</w:t>
      </w:r>
    </w:p>
    <w:p w:rsidR="00E731E9" w:rsidRDefault="00E731E9" w:rsidP="009F1E0E">
      <w:pPr>
        <w:pStyle w:val="Sansinterligne"/>
        <w:jc w:val="both"/>
      </w:pPr>
    </w:p>
    <w:p w:rsidR="00E731E9" w:rsidRDefault="00E731E9" w:rsidP="009F1E0E">
      <w:pPr>
        <w:pStyle w:val="Sansinterligne"/>
        <w:jc w:val="both"/>
      </w:pPr>
    </w:p>
    <w:p w:rsidR="00E731E9" w:rsidRDefault="005F00A4" w:rsidP="001F42AF">
      <w:pPr>
        <w:pStyle w:val="Sansinterligne"/>
        <w:numPr>
          <w:ilvl w:val="0"/>
          <w:numId w:val="3"/>
        </w:numPr>
        <w:jc w:val="both"/>
      </w:pPr>
      <w:hyperlink r:id="rId5" w:history="1">
        <w:r w:rsidR="00E731E9" w:rsidRPr="00D5423A">
          <w:rPr>
            <w:rStyle w:val="Lienhypertexte"/>
          </w:rPr>
          <w:t>https://www.ac-creteil.fr/media/32135/download</w:t>
        </w:r>
      </w:hyperlink>
    </w:p>
    <w:p w:rsidR="00E731E9" w:rsidRDefault="00E731E9" w:rsidP="009F1E0E">
      <w:pPr>
        <w:pStyle w:val="Sansinterligne"/>
        <w:jc w:val="both"/>
      </w:pPr>
    </w:p>
    <w:p w:rsidR="0086127A" w:rsidRDefault="0086127A" w:rsidP="009F1E0E">
      <w:pPr>
        <w:pStyle w:val="Sansinterligne"/>
        <w:jc w:val="both"/>
      </w:pPr>
    </w:p>
    <w:p w:rsidR="0086127A" w:rsidRDefault="0086127A" w:rsidP="009F1E0E">
      <w:pPr>
        <w:pStyle w:val="Sansinterligne"/>
        <w:jc w:val="both"/>
      </w:pPr>
    </w:p>
    <w:sectPr w:rsidR="0086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113"/>
    <w:multiLevelType w:val="hybridMultilevel"/>
    <w:tmpl w:val="2A60E8BA"/>
    <w:lvl w:ilvl="0" w:tplc="38C443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6F3B"/>
    <w:multiLevelType w:val="hybridMultilevel"/>
    <w:tmpl w:val="3FA2BF38"/>
    <w:lvl w:ilvl="0" w:tplc="695695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125E9"/>
    <w:multiLevelType w:val="hybridMultilevel"/>
    <w:tmpl w:val="07186E7A"/>
    <w:lvl w:ilvl="0" w:tplc="3B267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F4"/>
    <w:rsid w:val="0002107C"/>
    <w:rsid w:val="000A7EBA"/>
    <w:rsid w:val="001140F4"/>
    <w:rsid w:val="001B74BB"/>
    <w:rsid w:val="001C62CB"/>
    <w:rsid w:val="001F42AF"/>
    <w:rsid w:val="0024572F"/>
    <w:rsid w:val="003D7D7F"/>
    <w:rsid w:val="004D2585"/>
    <w:rsid w:val="00542F46"/>
    <w:rsid w:val="005E2411"/>
    <w:rsid w:val="005F00A4"/>
    <w:rsid w:val="006069FA"/>
    <w:rsid w:val="00683A48"/>
    <w:rsid w:val="00694634"/>
    <w:rsid w:val="006D296A"/>
    <w:rsid w:val="006F2145"/>
    <w:rsid w:val="00722211"/>
    <w:rsid w:val="007B3EE3"/>
    <w:rsid w:val="00857AA8"/>
    <w:rsid w:val="0086127A"/>
    <w:rsid w:val="0089405A"/>
    <w:rsid w:val="009F1E0E"/>
    <w:rsid w:val="00A07159"/>
    <w:rsid w:val="00A748CB"/>
    <w:rsid w:val="00A868FC"/>
    <w:rsid w:val="00B53899"/>
    <w:rsid w:val="00B636C7"/>
    <w:rsid w:val="00BF20FF"/>
    <w:rsid w:val="00D36389"/>
    <w:rsid w:val="00D91890"/>
    <w:rsid w:val="00DA2593"/>
    <w:rsid w:val="00E45999"/>
    <w:rsid w:val="00E731E9"/>
    <w:rsid w:val="00E77515"/>
    <w:rsid w:val="00EA6A38"/>
    <w:rsid w:val="00F072A9"/>
    <w:rsid w:val="00F4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7EF1"/>
  <w15:chartTrackingRefBased/>
  <w15:docId w15:val="{631CA564-414B-450E-B821-A38E06AC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182129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A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572F"/>
    <w:pPr>
      <w:ind w:left="720"/>
      <w:contextualSpacing/>
    </w:pPr>
  </w:style>
  <w:style w:type="paragraph" w:styleId="Sansinterligne">
    <w:name w:val="No Spacing"/>
    <w:uiPriority w:val="1"/>
    <w:qFormat/>
    <w:rsid w:val="009F1E0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731E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73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-creteil.fr/media/32135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941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6</cp:revision>
  <dcterms:created xsi:type="dcterms:W3CDTF">2024-09-25T20:30:00Z</dcterms:created>
  <dcterms:modified xsi:type="dcterms:W3CDTF">2024-10-02T18:09:00Z</dcterms:modified>
</cp:coreProperties>
</file>