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BF8" w:rsidRPr="00AC2842" w:rsidRDefault="00162BF8" w:rsidP="00243752">
      <w:pPr>
        <w:jc w:val="both"/>
        <w:rPr>
          <w:rFonts w:ascii="Arial" w:hAnsi="Arial" w:cs="Arial"/>
          <w:b/>
        </w:rPr>
      </w:pPr>
      <w:r w:rsidRPr="00AC2842">
        <w:rPr>
          <w:rFonts w:ascii="Arial" w:hAnsi="Arial" w:cs="Arial"/>
          <w:b/>
        </w:rPr>
        <w:t>Arrêt n° S-2025-1836 du 12 décembre 2025 « Commune d’Echirolles »</w:t>
      </w:r>
    </w:p>
    <w:p w:rsidR="00162BF8" w:rsidRPr="00243752" w:rsidRDefault="00162BF8" w:rsidP="00243752">
      <w:pPr>
        <w:jc w:val="both"/>
        <w:rPr>
          <w:rFonts w:ascii="Arial" w:hAnsi="Arial" w:cs="Arial"/>
          <w:i/>
        </w:rPr>
      </w:pPr>
      <w:r w:rsidRPr="00243752">
        <w:rPr>
          <w:rFonts w:ascii="Arial" w:hAnsi="Arial" w:cs="Arial"/>
          <w:i/>
        </w:rPr>
        <w:t>https://www.ccomptes.fr/sites/default/files/2025-12/20251212-arret-2025-1836-Commune-Echirolles.pdf</w:t>
      </w:r>
    </w:p>
    <w:p w:rsidR="00162BF8" w:rsidRPr="00AC2842" w:rsidRDefault="00162BF8" w:rsidP="00243752">
      <w:pPr>
        <w:jc w:val="both"/>
        <w:rPr>
          <w:rFonts w:ascii="Arial" w:hAnsi="Arial" w:cs="Arial"/>
        </w:rPr>
      </w:pPr>
      <w:r w:rsidRPr="00AC2842">
        <w:rPr>
          <w:rFonts w:ascii="Arial" w:hAnsi="Arial" w:cs="Arial"/>
        </w:rPr>
        <w:t>Résumé.</w:t>
      </w:r>
    </w:p>
    <w:p w:rsidR="0023183F" w:rsidRPr="00AC2842" w:rsidRDefault="00162BF8" w:rsidP="00243752">
      <w:pPr>
        <w:jc w:val="both"/>
        <w:rPr>
          <w:rFonts w:ascii="Arial" w:hAnsi="Arial" w:cs="Arial"/>
        </w:rPr>
      </w:pPr>
      <w:r w:rsidRPr="00AC2842">
        <w:rPr>
          <w:rFonts w:ascii="Arial" w:hAnsi="Arial" w:cs="Arial"/>
        </w:rPr>
        <w:t>Comme dans l’arrêt d’appel n° S-2025-06 du 12 décembre 2025 « Communauté d’agglomération SLA », la Cour a posé le principe selon lequel, « en matière d’octroi d’un avantage injustifié à autrui, l’existence d’un intérêt personnel direct ou indirect poursuivi par le gestionnaire public ne saurait se déduire du seul manquement de celui-ci à ses obligations législatives ou réglementaires, ni du seul fait que sa décision aurait pu ne pas être en tout point conforme aux meilleures règles de gestion ou qu’elle aurait conduit à méconnaître un objectif d’intérêt général. » Au cas d’espèce (le versement à des agents de la commune d’une prime de 13e mois, sur réquisition de la comptable publique par le maire de la commune) la Cour a ainsi jugé qu’aucun élément ne permettait d’établir que le maire aurait voulu satisfaire un intérêt personnel au motif qu’il aurait voulu préserver le climat social, ne pas porter préjudice à des relations personnelles, ainsi que limiter un risque électoral.</w:t>
      </w:r>
    </w:p>
    <w:p w:rsidR="00162BF8" w:rsidRPr="00AC2842" w:rsidRDefault="00162BF8" w:rsidP="00243752">
      <w:pPr>
        <w:jc w:val="both"/>
        <w:rPr>
          <w:rFonts w:ascii="Arial" w:hAnsi="Arial" w:cs="Arial"/>
        </w:rPr>
      </w:pPr>
    </w:p>
    <w:p w:rsidR="00162BF8" w:rsidRPr="00AC2842" w:rsidRDefault="00162BF8" w:rsidP="00243752">
      <w:pPr>
        <w:jc w:val="both"/>
        <w:rPr>
          <w:rFonts w:ascii="Arial" w:hAnsi="Arial" w:cs="Arial"/>
          <w:b/>
        </w:rPr>
      </w:pPr>
      <w:r w:rsidRPr="00AC2842">
        <w:rPr>
          <w:rFonts w:ascii="Arial" w:hAnsi="Arial" w:cs="Arial"/>
          <w:b/>
        </w:rPr>
        <w:t>Arrêt d’appel n° S-2025-07 du 15 décembre 2025 « Commune d’Eguilles »</w:t>
      </w:r>
    </w:p>
    <w:p w:rsidR="00162BF8" w:rsidRPr="00243752" w:rsidRDefault="00162BF8" w:rsidP="00243752">
      <w:pPr>
        <w:jc w:val="both"/>
        <w:rPr>
          <w:rFonts w:ascii="Arial" w:hAnsi="Arial" w:cs="Arial"/>
          <w:i/>
        </w:rPr>
      </w:pPr>
      <w:r w:rsidRPr="00243752">
        <w:rPr>
          <w:rFonts w:ascii="Arial" w:hAnsi="Arial" w:cs="Arial"/>
          <w:i/>
        </w:rPr>
        <w:t>https://www.ccomptes.fr/sites/default/files/2025-12/20251215-arret-2025-07-Commune-Eguilles.pdf</w:t>
      </w:r>
    </w:p>
    <w:p w:rsidR="00162BF8" w:rsidRPr="00AC2842" w:rsidRDefault="00162BF8" w:rsidP="00243752">
      <w:pPr>
        <w:jc w:val="both"/>
        <w:rPr>
          <w:rFonts w:ascii="Arial" w:hAnsi="Arial" w:cs="Arial"/>
        </w:rPr>
      </w:pPr>
      <w:r w:rsidRPr="00AC2842">
        <w:rPr>
          <w:rFonts w:ascii="Arial" w:hAnsi="Arial" w:cs="Arial"/>
        </w:rPr>
        <w:t>Résumé.</w:t>
      </w:r>
    </w:p>
    <w:p w:rsidR="00162BF8" w:rsidRPr="00AC2842" w:rsidRDefault="00162BF8" w:rsidP="00243752">
      <w:pPr>
        <w:jc w:val="both"/>
        <w:rPr>
          <w:rFonts w:ascii="Arial" w:hAnsi="Arial" w:cs="Arial"/>
        </w:rPr>
      </w:pPr>
      <w:r w:rsidRPr="00AC2842">
        <w:rPr>
          <w:rFonts w:ascii="Arial" w:hAnsi="Arial" w:cs="Arial"/>
        </w:rPr>
        <w:t xml:space="preserve">Arrêt d’appel concernant l’arrêt n° S-2025-0647 du 13 mai 2025 « Commune d’Eguilles » (voir ci-après). Il était reproché à un comptable de la commune d’Éguilles (Bouches-du-Rhône) d’avoir, pendant plusieurs mois, payé des mandats relatifs à un marché de travaux sans relever que la facturation était supérieure aux prix contractuellement fixés. Un remboursement de surfacturations par l’entreprise était intervenu après la cessation de fonctions de ce comptable. Après avoir rappelé les obligations du comptable, notamment en matière de contrôle de l’exactitude de la liquidation, la Cour d’appel financière a confirmé que l’infraction de l’article L. 131-9 du code des juridictions financières était caractérisée. En effet, d’une part, le caractère fondamental de l’obligation méconnue et la répétition du manquement ainsi que, au surplus, le montant des surfacturations litigieuses </w:t>
      </w:r>
      <w:proofErr w:type="gramStart"/>
      <w:r w:rsidRPr="00AC2842">
        <w:rPr>
          <w:rFonts w:ascii="Arial" w:hAnsi="Arial" w:cs="Arial"/>
        </w:rPr>
        <w:t>attestent</w:t>
      </w:r>
      <w:proofErr w:type="gramEnd"/>
      <w:r w:rsidRPr="00AC2842">
        <w:rPr>
          <w:rFonts w:ascii="Arial" w:hAnsi="Arial" w:cs="Arial"/>
        </w:rPr>
        <w:t xml:space="preserve"> de la gravité de la faute. D’autre part, la Cour d’appel financière a confirmé l’analyse du premier juge selon laquelle le préjudice financier doit s’apprécier au moment où les faits ont été commis, même dans le cas où une réparation intervient avant le jugement de cette infraction. Le préjudice en question a été jugé d’un montant significatif au regard du budget de la commune, notamment de sa section d’investissement.</w:t>
      </w:r>
    </w:p>
    <w:p w:rsidR="00162BF8" w:rsidRPr="00AC2842" w:rsidRDefault="00162BF8" w:rsidP="00243752">
      <w:pPr>
        <w:jc w:val="both"/>
        <w:rPr>
          <w:rFonts w:ascii="Arial" w:hAnsi="Arial" w:cs="Arial"/>
        </w:rPr>
      </w:pPr>
      <w:r w:rsidRPr="00AC2842">
        <w:rPr>
          <w:rFonts w:ascii="Arial" w:hAnsi="Arial" w:cs="Arial"/>
        </w:rPr>
        <w:t>Toutefois, réexaminant les circonstances de l’espèce, la Cour d’appel financière, sans prononcer la dispense de peine sollicitée, a ramené l’amende de 7 500 € à 3 000 €.</w:t>
      </w:r>
    </w:p>
    <w:p w:rsidR="00162BF8" w:rsidRPr="00AC2842" w:rsidRDefault="00162BF8" w:rsidP="00243752">
      <w:pPr>
        <w:jc w:val="both"/>
        <w:rPr>
          <w:rFonts w:ascii="Arial" w:hAnsi="Arial" w:cs="Arial"/>
        </w:rPr>
      </w:pPr>
    </w:p>
    <w:p w:rsidR="00162BF8" w:rsidRPr="00AC2842" w:rsidRDefault="00162BF8" w:rsidP="00243752">
      <w:pPr>
        <w:jc w:val="both"/>
        <w:rPr>
          <w:rFonts w:ascii="Arial" w:hAnsi="Arial" w:cs="Arial"/>
          <w:b/>
        </w:rPr>
      </w:pPr>
      <w:r w:rsidRPr="00AC2842">
        <w:rPr>
          <w:rFonts w:ascii="Arial" w:hAnsi="Arial" w:cs="Arial"/>
          <w:b/>
        </w:rPr>
        <w:t>Arrêt n° S-2025-1734 du 18 décembre 2025 « Chambre d’agriculture du Loir-et-Cher »</w:t>
      </w:r>
    </w:p>
    <w:p w:rsidR="00162BF8" w:rsidRPr="00243752" w:rsidRDefault="00162BF8" w:rsidP="00243752">
      <w:pPr>
        <w:jc w:val="both"/>
        <w:rPr>
          <w:rFonts w:ascii="Arial" w:hAnsi="Arial" w:cs="Arial"/>
          <w:i/>
        </w:rPr>
      </w:pPr>
      <w:r w:rsidRPr="00243752">
        <w:rPr>
          <w:rFonts w:ascii="Arial" w:hAnsi="Arial" w:cs="Arial"/>
          <w:i/>
        </w:rPr>
        <w:t>https://www.ccomptes.fr/sites/default/files/2025-12/20251218-arret%20</w:t>
      </w:r>
      <w:r w:rsidR="00AC2842" w:rsidRPr="00243752">
        <w:rPr>
          <w:rFonts w:ascii="Arial" w:hAnsi="Arial" w:cs="Arial"/>
          <w:i/>
        </w:rPr>
        <w:t>S2025-1734-CDA-Loir-et-Cher.pdf</w:t>
      </w:r>
    </w:p>
    <w:p w:rsidR="00162BF8" w:rsidRPr="00AC2842" w:rsidRDefault="00162BF8" w:rsidP="00243752">
      <w:pPr>
        <w:jc w:val="both"/>
        <w:rPr>
          <w:rFonts w:ascii="Arial" w:hAnsi="Arial" w:cs="Arial"/>
        </w:rPr>
      </w:pPr>
      <w:r w:rsidRPr="00AC2842">
        <w:rPr>
          <w:rFonts w:ascii="Arial" w:hAnsi="Arial" w:cs="Arial"/>
        </w:rPr>
        <w:t>Résumé.</w:t>
      </w:r>
    </w:p>
    <w:p w:rsidR="00162BF8" w:rsidRPr="00AC2842" w:rsidRDefault="00162BF8" w:rsidP="00243752">
      <w:pPr>
        <w:jc w:val="both"/>
        <w:rPr>
          <w:rFonts w:ascii="Arial" w:hAnsi="Arial" w:cs="Arial"/>
        </w:rPr>
      </w:pPr>
      <w:r w:rsidRPr="00AC2842">
        <w:rPr>
          <w:rFonts w:ascii="Arial" w:hAnsi="Arial" w:cs="Arial"/>
        </w:rPr>
        <w:t xml:space="preserve">Les comptes 2020 à 2022 de la Chambre d’agriculture du Loir-et-Cher avaient été produits tardivement et parfois sans les annexes prévues par la réglementation, adoptés avec retard par l’organe délibérant, signés par l’ordonnateur et le comptable postérieurement à cette adoption et </w:t>
      </w:r>
      <w:proofErr w:type="spellStart"/>
      <w:r w:rsidRPr="00AC2842">
        <w:rPr>
          <w:rFonts w:ascii="Arial" w:hAnsi="Arial" w:cs="Arial"/>
        </w:rPr>
        <w:t>modiﬁés</w:t>
      </w:r>
      <w:proofErr w:type="spellEnd"/>
      <w:r w:rsidRPr="00AC2842">
        <w:rPr>
          <w:rFonts w:ascii="Arial" w:hAnsi="Arial" w:cs="Arial"/>
        </w:rPr>
        <w:t xml:space="preserve"> après leur approbation par la tutelle en méconnaissance du principe d’intangibilité des comptes publics. Ces faits étant constitutifs de l’infraction de non-production des comptes. Elle a considéré que ces mêmes faits n’étaient toutefois pas constitutifs de l’infraction </w:t>
      </w:r>
      <w:proofErr w:type="spellStart"/>
      <w:r w:rsidRPr="00AC2842">
        <w:rPr>
          <w:rFonts w:ascii="Arial" w:hAnsi="Arial" w:cs="Arial"/>
        </w:rPr>
        <w:t>déﬁnie</w:t>
      </w:r>
      <w:proofErr w:type="spellEnd"/>
      <w:r w:rsidRPr="00AC2842">
        <w:rPr>
          <w:rFonts w:ascii="Arial" w:hAnsi="Arial" w:cs="Arial"/>
        </w:rPr>
        <w:t xml:space="preserve"> par l’article L. 131-9 du CJF. Ces manquements constituaient certes une faute grave mais que le préjudice subi ne pouvait être regardé comme </w:t>
      </w:r>
      <w:proofErr w:type="spellStart"/>
      <w:r w:rsidRPr="00AC2842">
        <w:rPr>
          <w:rFonts w:ascii="Arial" w:hAnsi="Arial" w:cs="Arial"/>
        </w:rPr>
        <w:t>signiﬁcatif</w:t>
      </w:r>
      <w:proofErr w:type="spellEnd"/>
      <w:r w:rsidRPr="00AC2842">
        <w:rPr>
          <w:rFonts w:ascii="Arial" w:hAnsi="Arial" w:cs="Arial"/>
        </w:rPr>
        <w:t>.</w:t>
      </w:r>
    </w:p>
    <w:p w:rsidR="00162BF8" w:rsidRPr="00AC2842" w:rsidRDefault="00162BF8" w:rsidP="00243752">
      <w:pPr>
        <w:jc w:val="both"/>
        <w:rPr>
          <w:rFonts w:ascii="Arial" w:hAnsi="Arial" w:cs="Arial"/>
        </w:rPr>
      </w:pPr>
      <w:r w:rsidRPr="00AC2842">
        <w:rPr>
          <w:rFonts w:ascii="Arial" w:hAnsi="Arial" w:cs="Arial"/>
        </w:rPr>
        <w:t xml:space="preserve">Son président a été condamné pour le défaut de production des comptes à une amende de 1 000 €. La comptable a été dispensée de peine compte-tenu des circonstances atténuantes : dysfonctionnements comptables d’ampleur et anciens, important travail de régularisation, charge de travail considérable en raison </w:t>
      </w:r>
      <w:r w:rsidRPr="00AC2842">
        <w:rPr>
          <w:rFonts w:ascii="Arial" w:hAnsi="Arial" w:cs="Arial"/>
        </w:rPr>
        <w:lastRenderedPageBreak/>
        <w:t>de cumuls de fonctions, carences du système d’information financier en cours de déploiement, et prise de fonction au cours de la crise sanitaire.</w:t>
      </w:r>
    </w:p>
    <w:p w:rsidR="00162BF8" w:rsidRPr="00AC2842" w:rsidRDefault="00162BF8" w:rsidP="00243752">
      <w:pPr>
        <w:jc w:val="both"/>
        <w:rPr>
          <w:rFonts w:ascii="Arial" w:hAnsi="Arial" w:cs="Arial"/>
        </w:rPr>
      </w:pPr>
    </w:p>
    <w:p w:rsidR="00AC2842" w:rsidRPr="00AC2842" w:rsidRDefault="00AC2842" w:rsidP="00243752">
      <w:pPr>
        <w:jc w:val="both"/>
        <w:rPr>
          <w:rFonts w:ascii="Arial" w:hAnsi="Arial" w:cs="Arial"/>
          <w:b/>
        </w:rPr>
      </w:pPr>
      <w:r w:rsidRPr="00AC2842">
        <w:rPr>
          <w:rFonts w:ascii="Arial" w:hAnsi="Arial" w:cs="Arial"/>
          <w:b/>
        </w:rPr>
        <w:t>Arrêt n° S-2025-1888 du 13 janvier 2026 « Centre hospitalier de Guéret »</w:t>
      </w:r>
    </w:p>
    <w:p w:rsidR="00AC2842" w:rsidRPr="00243752" w:rsidRDefault="00AC2842" w:rsidP="00243752">
      <w:pPr>
        <w:jc w:val="both"/>
        <w:rPr>
          <w:rFonts w:ascii="Arial" w:hAnsi="Arial" w:cs="Arial"/>
          <w:i/>
        </w:rPr>
      </w:pPr>
      <w:r w:rsidRPr="00243752">
        <w:rPr>
          <w:rFonts w:ascii="Arial" w:hAnsi="Arial" w:cs="Arial"/>
          <w:i/>
        </w:rPr>
        <w:t>https://www.ccomptes.fr/sites/default/files/2026-01/20260113-S2025-1888-arret-Centre-hospitalier-Gueret.pdf</w:t>
      </w:r>
    </w:p>
    <w:p w:rsidR="00AC2842" w:rsidRPr="00AC2842" w:rsidRDefault="00AC2842" w:rsidP="00243752">
      <w:pPr>
        <w:jc w:val="both"/>
        <w:rPr>
          <w:rFonts w:ascii="Arial" w:hAnsi="Arial" w:cs="Arial"/>
        </w:rPr>
      </w:pPr>
      <w:r w:rsidRPr="00AC2842">
        <w:rPr>
          <w:rFonts w:ascii="Arial" w:hAnsi="Arial" w:cs="Arial"/>
        </w:rPr>
        <w:t>Résumé.</w:t>
      </w:r>
    </w:p>
    <w:p w:rsidR="00AC2842" w:rsidRPr="00AC2842" w:rsidRDefault="00AC2842" w:rsidP="00243752">
      <w:pPr>
        <w:jc w:val="both"/>
        <w:rPr>
          <w:rFonts w:ascii="Arial" w:hAnsi="Arial" w:cs="Arial"/>
        </w:rPr>
      </w:pPr>
      <w:r w:rsidRPr="00AC2842">
        <w:rPr>
          <w:rFonts w:ascii="Arial" w:hAnsi="Arial" w:cs="Arial"/>
        </w:rPr>
        <w:t>Des lettres de mission, signées par la directrice générale adjointe de l’ARS, s’étaient traduites par deux contrats signés ensuite par le centre hospitalier De Guéret entraînant une dépense de l’ordre de 75 000 euros à la charge du centre hospitalier. La direction générale de l’agence régionale de santé Nouvelle-Aquitaine ne disposait d’aucune habilitation pour engager les dépenses en cause. Il en résulte que l’infraction du 3° de l’article L.131-13 du même code, est constituée.</w:t>
      </w:r>
    </w:p>
    <w:p w:rsidR="00162BF8" w:rsidRDefault="00AC2842" w:rsidP="00243752">
      <w:pPr>
        <w:jc w:val="both"/>
        <w:rPr>
          <w:rFonts w:ascii="Arial" w:hAnsi="Arial" w:cs="Arial"/>
        </w:rPr>
      </w:pPr>
      <w:r w:rsidRPr="00AC2842">
        <w:rPr>
          <w:rFonts w:ascii="Arial" w:hAnsi="Arial" w:cs="Arial"/>
        </w:rPr>
        <w:t>Après avoir pris en compte les circonstances, la Cour a prononcé une amende de 1 000 € à l’encontre du directeur général de l’ARS, considéré comme décisionnaire.</w:t>
      </w:r>
    </w:p>
    <w:p w:rsidR="00AA7BFB" w:rsidRDefault="00AA7BFB" w:rsidP="00243752">
      <w:pPr>
        <w:jc w:val="both"/>
        <w:rPr>
          <w:rFonts w:ascii="Arial" w:hAnsi="Arial" w:cs="Arial"/>
        </w:rPr>
      </w:pPr>
    </w:p>
    <w:p w:rsidR="00AA7BFB" w:rsidRPr="00AA7BFB" w:rsidRDefault="00AA7BFB" w:rsidP="00243752">
      <w:pPr>
        <w:jc w:val="both"/>
        <w:rPr>
          <w:rFonts w:ascii="Arial" w:hAnsi="Arial" w:cs="Arial"/>
          <w:b/>
        </w:rPr>
      </w:pPr>
      <w:r w:rsidRPr="00AA7BFB">
        <w:rPr>
          <w:rFonts w:ascii="Arial" w:hAnsi="Arial" w:cs="Arial"/>
          <w:b/>
        </w:rPr>
        <w:t>Arrêt n° S-2026-0044 du 6 février 2026 « Ecole des beaux-arts de Nantes Saint-Nazaire ».</w:t>
      </w:r>
    </w:p>
    <w:p w:rsidR="00AA7BFB" w:rsidRPr="00243752" w:rsidRDefault="00AA7BFB" w:rsidP="00243752">
      <w:pPr>
        <w:jc w:val="both"/>
        <w:rPr>
          <w:rFonts w:ascii="Arial" w:hAnsi="Arial" w:cs="Arial"/>
          <w:i/>
        </w:rPr>
      </w:pPr>
      <w:bookmarkStart w:id="0" w:name="_GoBack"/>
      <w:r w:rsidRPr="00243752">
        <w:rPr>
          <w:rFonts w:ascii="Arial" w:hAnsi="Arial" w:cs="Arial"/>
          <w:i/>
        </w:rPr>
        <w:t>https://www.ccomptes.fr/sites/default/files/2026-02/20260206-S2026-0044-arret-Ecole-des-beaux-arts-de-Nantes-Saint-Nazaire.pdf</w:t>
      </w:r>
    </w:p>
    <w:bookmarkEnd w:id="0"/>
    <w:p w:rsidR="00AA7BFB" w:rsidRPr="00AA7BFB" w:rsidRDefault="00AA7BFB" w:rsidP="00243752">
      <w:pPr>
        <w:jc w:val="both"/>
        <w:rPr>
          <w:rFonts w:ascii="Arial" w:hAnsi="Arial" w:cs="Arial"/>
        </w:rPr>
      </w:pPr>
      <w:r w:rsidRPr="00AA7BFB">
        <w:rPr>
          <w:rFonts w:ascii="Arial" w:hAnsi="Arial" w:cs="Arial"/>
        </w:rPr>
        <w:t>Résumé.</w:t>
      </w:r>
    </w:p>
    <w:p w:rsidR="00AA7BFB" w:rsidRPr="00AA7BFB" w:rsidRDefault="00AA7BFB" w:rsidP="00243752">
      <w:pPr>
        <w:jc w:val="both"/>
        <w:rPr>
          <w:rFonts w:ascii="Arial" w:hAnsi="Arial" w:cs="Arial"/>
        </w:rPr>
      </w:pPr>
      <w:r w:rsidRPr="00AA7BFB">
        <w:rPr>
          <w:rFonts w:ascii="Arial" w:hAnsi="Arial" w:cs="Arial"/>
        </w:rPr>
        <w:t>La procureure générale près la Cour des comptes avait renvoyé devant la Cour l’ancien directeur général de l’École des beaux-arts de Nantes Saint-Nazaire pour qu’il soit statué sur sa responsabilité au regard de l’infraction relative à la faute grave de gestion ayant entraîné un préjudice financier significatif. Les faits reprochés portaient sur le versement aux agents de l’établissement public d’un complément indemnitaire dénué de fondement légal et réglementaire. La Cour a jugé que le versement de la prime était irrégulier, qu’il s’agissait d’une faute grave et que ce versement avait occasionné un préjudice financier significatif pour l’école.</w:t>
      </w:r>
    </w:p>
    <w:p w:rsidR="00AA7BFB" w:rsidRPr="00AC2842" w:rsidRDefault="00AA7BFB" w:rsidP="00243752">
      <w:pPr>
        <w:jc w:val="both"/>
        <w:rPr>
          <w:rFonts w:ascii="Arial" w:hAnsi="Arial" w:cs="Arial"/>
        </w:rPr>
      </w:pPr>
      <w:r w:rsidRPr="00AA7BFB">
        <w:rPr>
          <w:rFonts w:ascii="Arial" w:hAnsi="Arial" w:cs="Arial"/>
        </w:rPr>
        <w:t>Prenant en compte diverses circonstances, notamment atténuantes, elle a infligé à l’ancien directeur général une amende de 1 000 euros.</w:t>
      </w:r>
    </w:p>
    <w:sectPr w:rsidR="00AA7BFB" w:rsidRPr="00AC2842" w:rsidSect="002437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F8"/>
    <w:rsid w:val="00162BF8"/>
    <w:rsid w:val="001F1416"/>
    <w:rsid w:val="00243752"/>
    <w:rsid w:val="00253AB0"/>
    <w:rsid w:val="003E0FEF"/>
    <w:rsid w:val="00A147DC"/>
    <w:rsid w:val="00AA7BFB"/>
    <w:rsid w:val="00AC2842"/>
    <w:rsid w:val="00DE6AF5"/>
    <w:rsid w:val="00FA7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059D"/>
  <w15:chartTrackingRefBased/>
  <w15:docId w15:val="{11A71F30-EECF-4C31-8FD9-C424D7E7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7DC"/>
  </w:style>
  <w:style w:type="paragraph" w:styleId="Titre1">
    <w:name w:val="heading 1"/>
    <w:basedOn w:val="Normal"/>
    <w:next w:val="Normal"/>
    <w:link w:val="Titre1Car"/>
    <w:uiPriority w:val="9"/>
    <w:qFormat/>
    <w:rsid w:val="00A147D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A147D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147D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147D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A147D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A147D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A147D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A147D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A147D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7DC"/>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A147D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147DC"/>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A147DC"/>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A147DC"/>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A147DC"/>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A147DC"/>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A147DC"/>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A147DC"/>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A147DC"/>
    <w:pPr>
      <w:spacing w:line="240" w:lineRule="auto"/>
    </w:pPr>
    <w:rPr>
      <w:b/>
      <w:bCs/>
      <w:smallCaps/>
      <w:color w:val="44546A" w:themeColor="text2"/>
    </w:rPr>
  </w:style>
  <w:style w:type="paragraph" w:styleId="Titre">
    <w:name w:val="Title"/>
    <w:basedOn w:val="Normal"/>
    <w:next w:val="Normal"/>
    <w:link w:val="TitreCar"/>
    <w:uiPriority w:val="10"/>
    <w:qFormat/>
    <w:rsid w:val="00A147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A147DC"/>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A147D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A147DC"/>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A147DC"/>
    <w:rPr>
      <w:b/>
      <w:bCs/>
    </w:rPr>
  </w:style>
  <w:style w:type="character" w:styleId="Accentuation">
    <w:name w:val="Emphasis"/>
    <w:basedOn w:val="Policepardfaut"/>
    <w:uiPriority w:val="20"/>
    <w:qFormat/>
    <w:rsid w:val="00A147DC"/>
    <w:rPr>
      <w:i/>
      <w:iCs/>
    </w:rPr>
  </w:style>
  <w:style w:type="paragraph" w:styleId="Sansinterligne">
    <w:name w:val="No Spacing"/>
    <w:uiPriority w:val="1"/>
    <w:qFormat/>
    <w:rsid w:val="00A147DC"/>
    <w:pPr>
      <w:spacing w:after="0" w:line="240" w:lineRule="auto"/>
    </w:pPr>
  </w:style>
  <w:style w:type="paragraph" w:styleId="Citation">
    <w:name w:val="Quote"/>
    <w:basedOn w:val="Normal"/>
    <w:next w:val="Normal"/>
    <w:link w:val="CitationCar"/>
    <w:uiPriority w:val="29"/>
    <w:qFormat/>
    <w:rsid w:val="00A147DC"/>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A147DC"/>
    <w:rPr>
      <w:color w:val="44546A" w:themeColor="text2"/>
      <w:sz w:val="24"/>
      <w:szCs w:val="24"/>
    </w:rPr>
  </w:style>
  <w:style w:type="paragraph" w:styleId="Citationintense">
    <w:name w:val="Intense Quote"/>
    <w:basedOn w:val="Normal"/>
    <w:next w:val="Normal"/>
    <w:link w:val="CitationintenseCar"/>
    <w:uiPriority w:val="30"/>
    <w:qFormat/>
    <w:rsid w:val="00A147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A147DC"/>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A147DC"/>
    <w:rPr>
      <w:i/>
      <w:iCs/>
      <w:color w:val="595959" w:themeColor="text1" w:themeTint="A6"/>
    </w:rPr>
  </w:style>
  <w:style w:type="character" w:styleId="Emphaseintense">
    <w:name w:val="Intense Emphasis"/>
    <w:basedOn w:val="Policepardfaut"/>
    <w:uiPriority w:val="21"/>
    <w:qFormat/>
    <w:rsid w:val="00A147DC"/>
    <w:rPr>
      <w:b/>
      <w:bCs/>
      <w:i/>
      <w:iCs/>
    </w:rPr>
  </w:style>
  <w:style w:type="character" w:styleId="Rfrenceple">
    <w:name w:val="Subtle Reference"/>
    <w:basedOn w:val="Policepardfaut"/>
    <w:uiPriority w:val="31"/>
    <w:qFormat/>
    <w:rsid w:val="00A147DC"/>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A147DC"/>
    <w:rPr>
      <w:b/>
      <w:bCs/>
      <w:smallCaps/>
      <w:color w:val="44546A" w:themeColor="text2"/>
      <w:u w:val="single"/>
    </w:rPr>
  </w:style>
  <w:style w:type="character" w:styleId="Titredulivre">
    <w:name w:val="Book Title"/>
    <w:basedOn w:val="Policepardfaut"/>
    <w:uiPriority w:val="33"/>
    <w:qFormat/>
    <w:rsid w:val="00A147DC"/>
    <w:rPr>
      <w:b/>
      <w:bCs/>
      <w:smallCaps/>
      <w:spacing w:val="10"/>
    </w:rPr>
  </w:style>
  <w:style w:type="paragraph" w:styleId="En-ttedetabledesmatires">
    <w:name w:val="TOC Heading"/>
    <w:basedOn w:val="Titre1"/>
    <w:next w:val="Normal"/>
    <w:uiPriority w:val="39"/>
    <w:semiHidden/>
    <w:unhideWhenUsed/>
    <w:qFormat/>
    <w:rsid w:val="00A147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B B</cp:lastModifiedBy>
  <cp:revision>2</cp:revision>
  <dcterms:created xsi:type="dcterms:W3CDTF">2026-02-10T17:18:00Z</dcterms:created>
  <dcterms:modified xsi:type="dcterms:W3CDTF">2026-02-10T17:18:00Z</dcterms:modified>
</cp:coreProperties>
</file>